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5D517" w14:textId="77777777" w:rsidR="00615D4C" w:rsidRDefault="00615D4C" w:rsidP="00777A20">
      <w:pPr>
        <w:spacing w:line="360" w:lineRule="auto"/>
        <w:jc w:val="both"/>
        <w:rPr>
          <w:b/>
          <w:bCs/>
          <w:color w:val="FF0000"/>
          <w:u w:val="single"/>
          <w:lang w:val="en-GB"/>
        </w:rPr>
      </w:pPr>
    </w:p>
    <w:p w14:paraId="6F4B3B92" w14:textId="77777777" w:rsidR="00615D4C" w:rsidRDefault="00615D4C" w:rsidP="00777A20">
      <w:pPr>
        <w:spacing w:line="360" w:lineRule="auto"/>
        <w:jc w:val="both"/>
        <w:rPr>
          <w:b/>
          <w:bCs/>
          <w:color w:val="FF0000"/>
          <w:u w:val="single"/>
          <w:lang w:val="en-GB"/>
        </w:rPr>
      </w:pPr>
    </w:p>
    <w:p w14:paraId="1247549F" w14:textId="74D8F58E" w:rsidR="00615D4C" w:rsidRDefault="00615D4C" w:rsidP="00777A20">
      <w:pPr>
        <w:spacing w:line="360" w:lineRule="auto"/>
        <w:jc w:val="both"/>
        <w:rPr>
          <w:b/>
          <w:bCs/>
          <w:color w:val="FF0000"/>
          <w:u w:val="single"/>
          <w:lang w:val="en-GB"/>
        </w:rPr>
      </w:pPr>
      <w:r>
        <w:rPr>
          <w:noProof/>
          <w:lang w:val="de-DE" w:eastAsia="de-DE"/>
        </w:rPr>
        <w:drawing>
          <wp:inline distT="0" distB="0" distL="0" distR="0" wp14:anchorId="425133A5" wp14:editId="623FFE43">
            <wp:extent cx="5731510" cy="2560955"/>
            <wp:effectExtent l="0" t="0" r="2540" b="0"/>
            <wp:docPr id="2" name="Pictur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560955"/>
                    </a:xfrm>
                    <a:prstGeom prst="rect">
                      <a:avLst/>
                    </a:prstGeom>
                    <a:noFill/>
                    <a:ln>
                      <a:noFill/>
                    </a:ln>
                  </pic:spPr>
                </pic:pic>
              </a:graphicData>
            </a:graphic>
          </wp:inline>
        </w:drawing>
      </w:r>
    </w:p>
    <w:p w14:paraId="165AE771" w14:textId="77777777" w:rsidR="00615D4C" w:rsidRDefault="00615D4C" w:rsidP="00777A20">
      <w:pPr>
        <w:spacing w:line="360" w:lineRule="auto"/>
        <w:jc w:val="both"/>
        <w:rPr>
          <w:b/>
          <w:bCs/>
          <w:color w:val="FF0000"/>
          <w:u w:val="single"/>
          <w:lang w:val="en-GB"/>
        </w:rPr>
      </w:pPr>
    </w:p>
    <w:p w14:paraId="5F60E4A3" w14:textId="77777777" w:rsidR="00615D4C" w:rsidRPr="00BE1205" w:rsidRDefault="00615D4C" w:rsidP="00BE1205">
      <w:pPr>
        <w:spacing w:line="360" w:lineRule="auto"/>
        <w:rPr>
          <w:b/>
          <w:bCs/>
          <w:color w:val="000000" w:themeColor="text1"/>
          <w:sz w:val="40"/>
          <w:szCs w:val="40"/>
          <w:lang w:val="en-GB"/>
        </w:rPr>
      </w:pPr>
    </w:p>
    <w:p w14:paraId="0965046C" w14:textId="5E5D931C" w:rsidR="00615D4C" w:rsidRPr="00BE1205" w:rsidRDefault="00615D4C" w:rsidP="00BE1205">
      <w:pPr>
        <w:spacing w:line="360" w:lineRule="auto"/>
        <w:jc w:val="center"/>
        <w:rPr>
          <w:b/>
          <w:bCs/>
          <w:color w:val="000000" w:themeColor="text1"/>
          <w:sz w:val="40"/>
          <w:szCs w:val="40"/>
          <w:lang w:val="en-GB"/>
        </w:rPr>
      </w:pPr>
      <w:r w:rsidRPr="00BE1205">
        <w:rPr>
          <w:b/>
          <w:bCs/>
          <w:color w:val="000000" w:themeColor="text1"/>
          <w:sz w:val="40"/>
          <w:szCs w:val="40"/>
          <w:lang w:val="en-GB"/>
        </w:rPr>
        <w:t>COUNTRY REPORT</w:t>
      </w:r>
    </w:p>
    <w:p w14:paraId="086BF32F" w14:textId="051CE3FA" w:rsidR="00615D4C" w:rsidRPr="00BE1205" w:rsidRDefault="00615D4C" w:rsidP="00615D4C">
      <w:pPr>
        <w:spacing w:line="360" w:lineRule="auto"/>
        <w:jc w:val="center"/>
        <w:rPr>
          <w:b/>
          <w:bCs/>
          <w:color w:val="000000" w:themeColor="text1"/>
          <w:sz w:val="40"/>
          <w:szCs w:val="40"/>
          <w:lang w:val="en-GB"/>
        </w:rPr>
      </w:pPr>
      <w:r w:rsidRPr="00BE1205">
        <w:rPr>
          <w:b/>
          <w:bCs/>
          <w:color w:val="000000" w:themeColor="text1"/>
          <w:sz w:val="40"/>
          <w:szCs w:val="40"/>
          <w:lang w:val="en-GB"/>
        </w:rPr>
        <w:t>GERMANY</w:t>
      </w:r>
    </w:p>
    <w:p w14:paraId="4062922A" w14:textId="208E2367" w:rsidR="00615D4C" w:rsidRDefault="00615D4C" w:rsidP="00615D4C">
      <w:pPr>
        <w:spacing w:line="360" w:lineRule="auto"/>
        <w:jc w:val="center"/>
        <w:rPr>
          <w:rFonts w:asciiTheme="minorHAnsi" w:hAnsiTheme="minorHAnsi" w:cstheme="minorHAnsi"/>
          <w:b/>
          <w:bCs/>
          <w:color w:val="000000" w:themeColor="text1"/>
          <w:sz w:val="40"/>
          <w:szCs w:val="40"/>
          <w:lang w:val="en-GB"/>
        </w:rPr>
      </w:pPr>
    </w:p>
    <w:p w14:paraId="07F0DBEC" w14:textId="77777777" w:rsidR="00615D4C" w:rsidRPr="00BE1205" w:rsidRDefault="00615D4C" w:rsidP="00BE1205">
      <w:pPr>
        <w:spacing w:line="360" w:lineRule="auto"/>
        <w:jc w:val="center"/>
        <w:rPr>
          <w:rFonts w:asciiTheme="minorHAnsi" w:hAnsiTheme="minorHAnsi" w:cstheme="minorHAnsi"/>
          <w:b/>
          <w:bCs/>
          <w:color w:val="000000" w:themeColor="text1"/>
          <w:sz w:val="40"/>
          <w:szCs w:val="40"/>
          <w:lang w:val="en-GB"/>
        </w:rPr>
      </w:pPr>
    </w:p>
    <w:p w14:paraId="2FFA6455" w14:textId="77777777" w:rsidR="00615D4C" w:rsidRDefault="00615D4C" w:rsidP="00777A20">
      <w:pPr>
        <w:spacing w:line="360" w:lineRule="auto"/>
        <w:jc w:val="both"/>
        <w:rPr>
          <w:b/>
          <w:bCs/>
          <w:color w:val="FF0000"/>
          <w:u w:val="single"/>
          <w:lang w:val="en-GB"/>
        </w:rPr>
      </w:pPr>
    </w:p>
    <w:p w14:paraId="60306887" w14:textId="614D9F51" w:rsidR="00615D4C" w:rsidRDefault="00615D4C" w:rsidP="00777A20">
      <w:pPr>
        <w:spacing w:line="360" w:lineRule="auto"/>
        <w:jc w:val="both"/>
        <w:rPr>
          <w:b/>
          <w:bCs/>
          <w:color w:val="FF0000"/>
          <w:u w:val="single"/>
          <w:lang w:val="en-GB"/>
        </w:rPr>
      </w:pPr>
    </w:p>
    <w:p w14:paraId="3B562BDE" w14:textId="77777777" w:rsidR="00615D4C" w:rsidRDefault="00615D4C" w:rsidP="00777A20">
      <w:pPr>
        <w:spacing w:line="360" w:lineRule="auto"/>
        <w:jc w:val="both"/>
        <w:rPr>
          <w:b/>
          <w:bCs/>
          <w:color w:val="FF0000"/>
          <w:u w:val="single"/>
          <w:lang w:val="en-GB"/>
        </w:rPr>
      </w:pPr>
    </w:p>
    <w:p w14:paraId="1B70A4F5" w14:textId="77777777" w:rsidR="00615D4C" w:rsidRDefault="00615D4C" w:rsidP="00777A20">
      <w:pPr>
        <w:spacing w:line="360" w:lineRule="auto"/>
        <w:jc w:val="both"/>
        <w:rPr>
          <w:b/>
          <w:bCs/>
          <w:color w:val="FF0000"/>
          <w:u w:val="single"/>
          <w:lang w:val="en-GB"/>
        </w:rPr>
      </w:pPr>
    </w:p>
    <w:p w14:paraId="644D6F98" w14:textId="77777777" w:rsidR="00615D4C" w:rsidRDefault="00615D4C" w:rsidP="00777A20">
      <w:pPr>
        <w:spacing w:line="360" w:lineRule="auto"/>
        <w:jc w:val="both"/>
        <w:rPr>
          <w:b/>
          <w:bCs/>
          <w:color w:val="FF0000"/>
          <w:u w:val="single"/>
          <w:lang w:val="en-GB"/>
        </w:rPr>
      </w:pPr>
    </w:p>
    <w:p w14:paraId="7E1E6FB0" w14:textId="77777777" w:rsidR="00615D4C" w:rsidRDefault="00615D4C" w:rsidP="00777A20">
      <w:pPr>
        <w:spacing w:line="360" w:lineRule="auto"/>
        <w:jc w:val="both"/>
        <w:rPr>
          <w:b/>
          <w:bCs/>
          <w:color w:val="FF0000"/>
          <w:u w:val="single"/>
          <w:lang w:val="en-GB"/>
        </w:rPr>
      </w:pPr>
    </w:p>
    <w:p w14:paraId="1C75E07D" w14:textId="77777777" w:rsidR="00615D4C" w:rsidRPr="00B15F90" w:rsidRDefault="00615D4C" w:rsidP="00777A20">
      <w:pPr>
        <w:spacing w:line="360" w:lineRule="auto"/>
        <w:jc w:val="both"/>
        <w:rPr>
          <w:b/>
          <w:bCs/>
          <w:color w:val="FF0000"/>
          <w:u w:val="single"/>
          <w:lang w:val="en-GB"/>
        </w:rPr>
      </w:pPr>
    </w:p>
    <w:p w14:paraId="1EA12EBA" w14:textId="3F300268" w:rsidR="00615D4C" w:rsidRPr="00BE1205" w:rsidRDefault="00615D4C" w:rsidP="00615D4C">
      <w:pPr>
        <w:spacing w:line="360" w:lineRule="auto"/>
        <w:jc w:val="center"/>
        <w:rPr>
          <w:bCs/>
          <w:color w:val="000000" w:themeColor="text1"/>
          <w:lang w:val="en-GB"/>
        </w:rPr>
      </w:pPr>
      <w:r w:rsidRPr="00BE1205">
        <w:rPr>
          <w:bCs/>
          <w:color w:val="000000" w:themeColor="text1"/>
          <w:lang w:val="en-GB"/>
        </w:rPr>
        <w:t>Martin Böse</w:t>
      </w:r>
      <w:r w:rsidR="007A4B52">
        <w:rPr>
          <w:bCs/>
          <w:color w:val="000000" w:themeColor="text1"/>
          <w:lang w:val="en-GB"/>
        </w:rPr>
        <w:t xml:space="preserve"> and Ruth Schumacher</w:t>
      </w:r>
    </w:p>
    <w:p w14:paraId="482CB5EF" w14:textId="77777777" w:rsidR="004117A9" w:rsidRDefault="00615D4C" w:rsidP="004117A9">
      <w:pPr>
        <w:spacing w:line="360" w:lineRule="auto"/>
        <w:jc w:val="center"/>
        <w:rPr>
          <w:bCs/>
          <w:color w:val="000000" w:themeColor="text1"/>
          <w:lang w:val="en-GB"/>
        </w:rPr>
      </w:pPr>
      <w:r w:rsidRPr="00BE1205">
        <w:rPr>
          <w:bCs/>
          <w:color w:val="000000" w:themeColor="text1"/>
          <w:lang w:val="en-GB"/>
        </w:rPr>
        <w:t>30 Juni 2024 amended on 12</w:t>
      </w:r>
      <w:r w:rsidRPr="00BE1205">
        <w:rPr>
          <w:bCs/>
          <w:color w:val="000000" w:themeColor="text1"/>
          <w:vertAlign w:val="superscript"/>
          <w:lang w:val="en-GB"/>
        </w:rPr>
        <w:t xml:space="preserve"> </w:t>
      </w:r>
      <w:r w:rsidRPr="00BE1205">
        <w:rPr>
          <w:bCs/>
          <w:color w:val="000000" w:themeColor="text1"/>
          <w:lang w:val="en-GB"/>
        </w:rPr>
        <w:t>August 2024</w:t>
      </w:r>
      <w:r w:rsidR="00D01B7F">
        <w:rPr>
          <w:bCs/>
          <w:color w:val="000000" w:themeColor="text1"/>
          <w:lang w:val="en-GB"/>
        </w:rPr>
        <w:t xml:space="preserve">, </w:t>
      </w:r>
    </w:p>
    <w:p w14:paraId="18A5E4DA" w14:textId="25A32139" w:rsidR="00615D4C" w:rsidRPr="00BE1205" w:rsidRDefault="00615D4C" w:rsidP="00BE1205">
      <w:pPr>
        <w:spacing w:line="360" w:lineRule="auto"/>
        <w:jc w:val="center"/>
        <w:rPr>
          <w:bCs/>
          <w:color w:val="000000" w:themeColor="text1"/>
          <w:lang w:val="en-GB"/>
        </w:rPr>
      </w:pPr>
      <w:r w:rsidRPr="00BE1205">
        <w:rPr>
          <w:bCs/>
          <w:color w:val="000000" w:themeColor="text1"/>
          <w:lang w:val="en-GB"/>
        </w:rPr>
        <w:t>19 December 2024</w:t>
      </w:r>
      <w:r w:rsidR="00622A40">
        <w:rPr>
          <w:bCs/>
          <w:color w:val="000000" w:themeColor="text1"/>
          <w:lang w:val="en-GB"/>
        </w:rPr>
        <w:t xml:space="preserve">, </w:t>
      </w:r>
      <w:r w:rsidR="003B4044">
        <w:rPr>
          <w:bCs/>
          <w:color w:val="000000" w:themeColor="text1"/>
          <w:lang w:val="en-GB"/>
        </w:rPr>
        <w:t>11</w:t>
      </w:r>
      <w:r w:rsidR="00D01B7F">
        <w:rPr>
          <w:bCs/>
          <w:color w:val="000000" w:themeColor="text1"/>
          <w:lang w:val="en-GB"/>
        </w:rPr>
        <w:t xml:space="preserve"> February 2025</w:t>
      </w:r>
      <w:r w:rsidR="00622A40">
        <w:rPr>
          <w:bCs/>
          <w:color w:val="000000" w:themeColor="text1"/>
          <w:lang w:val="en-GB"/>
        </w:rPr>
        <w:t xml:space="preserve"> and 14 March 2025</w:t>
      </w:r>
    </w:p>
    <w:p w14:paraId="53FD5C85" w14:textId="77777777" w:rsidR="00615D4C" w:rsidRDefault="00615D4C" w:rsidP="00777A20">
      <w:pPr>
        <w:spacing w:line="360" w:lineRule="auto"/>
        <w:jc w:val="both"/>
        <w:rPr>
          <w:b/>
          <w:bCs/>
          <w:color w:val="FF0000"/>
          <w:u w:val="single"/>
          <w:lang w:val="en-GB"/>
        </w:rPr>
      </w:pPr>
    </w:p>
    <w:p w14:paraId="77E6444B" w14:textId="77777777" w:rsidR="00615D4C" w:rsidRDefault="00615D4C" w:rsidP="00777A20">
      <w:pPr>
        <w:spacing w:line="360" w:lineRule="auto"/>
        <w:jc w:val="both"/>
        <w:rPr>
          <w:b/>
          <w:bCs/>
          <w:color w:val="FF0000"/>
          <w:u w:val="single"/>
          <w:lang w:val="en-GB"/>
        </w:rPr>
      </w:pPr>
    </w:p>
    <w:p w14:paraId="7CB77E03" w14:textId="39D33D5F" w:rsidR="00B73167" w:rsidRPr="00353C2A" w:rsidRDefault="00B73167" w:rsidP="00777A20">
      <w:pPr>
        <w:spacing w:line="360" w:lineRule="auto"/>
        <w:jc w:val="both"/>
        <w:rPr>
          <w:b/>
          <w:bCs/>
          <w:color w:val="FF0000"/>
          <w:u w:val="single"/>
          <w:lang w:val="en-GB"/>
        </w:rPr>
      </w:pPr>
      <w:r w:rsidRPr="00353C2A">
        <w:rPr>
          <w:b/>
          <w:bCs/>
          <w:color w:val="FF0000"/>
          <w:u w:val="single"/>
          <w:lang w:val="en-GB"/>
        </w:rPr>
        <w:lastRenderedPageBreak/>
        <w:t>INDEX FOR THE COUNTRY REPORTS</w:t>
      </w:r>
    </w:p>
    <w:p w14:paraId="266A27E9" w14:textId="77777777" w:rsidR="00B73167" w:rsidRPr="00353C2A" w:rsidRDefault="00B73167" w:rsidP="00777A20">
      <w:pPr>
        <w:spacing w:line="360" w:lineRule="auto"/>
        <w:jc w:val="both"/>
        <w:rPr>
          <w:b/>
          <w:bCs/>
          <w:color w:val="FF0000"/>
          <w:u w:val="single"/>
          <w:lang w:val="en-GB"/>
        </w:rPr>
      </w:pPr>
    </w:p>
    <w:p w14:paraId="5189E1FF" w14:textId="77777777" w:rsidR="00B73167" w:rsidRPr="00353C2A" w:rsidRDefault="00B73167" w:rsidP="00777A20">
      <w:pPr>
        <w:spacing w:line="360" w:lineRule="auto"/>
        <w:jc w:val="both"/>
        <w:rPr>
          <w:b/>
          <w:bCs/>
          <w:color w:val="FF0000"/>
          <w:lang w:val="en-GB"/>
        </w:rPr>
      </w:pPr>
      <w:r w:rsidRPr="00353C2A">
        <w:rPr>
          <w:b/>
          <w:bCs/>
          <w:color w:val="FF0000"/>
          <w:lang w:val="en-GB"/>
        </w:rPr>
        <w:t>Introduction</w:t>
      </w:r>
    </w:p>
    <w:p w14:paraId="31AFD100" w14:textId="77777777" w:rsidR="00B73167" w:rsidRPr="00353C2A" w:rsidRDefault="00B73167" w:rsidP="00777A20">
      <w:pPr>
        <w:spacing w:line="360" w:lineRule="auto"/>
        <w:jc w:val="both"/>
        <w:rPr>
          <w:b/>
          <w:bCs/>
          <w:i/>
          <w:iCs/>
          <w:color w:val="FF0000"/>
          <w:lang w:val="en-GB"/>
        </w:rPr>
      </w:pPr>
    </w:p>
    <w:p w14:paraId="40F1ACEA" w14:textId="77777777" w:rsidR="00B73167" w:rsidRPr="00353C2A" w:rsidRDefault="00B73167" w:rsidP="00777A20">
      <w:pPr>
        <w:spacing w:line="360" w:lineRule="auto"/>
        <w:jc w:val="both"/>
        <w:rPr>
          <w:i/>
          <w:iCs/>
          <w:color w:val="FF0000"/>
          <w:lang w:val="en-GB"/>
        </w:rPr>
      </w:pPr>
      <w:r w:rsidRPr="00353C2A">
        <w:rPr>
          <w:i/>
          <w:iCs/>
          <w:color w:val="FF0000"/>
          <w:lang w:val="en-GB"/>
        </w:rPr>
        <w:t>Content</w:t>
      </w:r>
    </w:p>
    <w:p w14:paraId="12836487" w14:textId="77777777" w:rsidR="00B73167" w:rsidRPr="00353C2A" w:rsidRDefault="00B73167" w:rsidP="00777A20">
      <w:pPr>
        <w:spacing w:line="360" w:lineRule="auto"/>
        <w:jc w:val="both"/>
        <w:rPr>
          <w:color w:val="FF0000"/>
          <w:lang w:val="en-GB"/>
        </w:rPr>
      </w:pPr>
    </w:p>
    <w:p w14:paraId="55B44883" w14:textId="5210895C" w:rsidR="00B73167" w:rsidRPr="00353C2A" w:rsidRDefault="00B73167" w:rsidP="00777A20">
      <w:pPr>
        <w:spacing w:line="360" w:lineRule="auto"/>
        <w:jc w:val="both"/>
        <w:rPr>
          <w:color w:val="FF0000"/>
          <w:lang w:val="en-GB"/>
        </w:rPr>
      </w:pPr>
      <w:r w:rsidRPr="00353C2A">
        <w:rPr>
          <w:color w:val="FF0000"/>
          <w:lang w:val="en-GB"/>
        </w:rPr>
        <w:t>This document contains the annotated index that will be used to draft the Country Reports. For reasons of accessibility</w:t>
      </w:r>
      <w:r w:rsidR="00777A20">
        <w:rPr>
          <w:color w:val="FF0000"/>
          <w:lang w:val="en-GB"/>
        </w:rPr>
        <w:t>,</w:t>
      </w:r>
      <w:r w:rsidRPr="00353C2A">
        <w:rPr>
          <w:color w:val="FF0000"/>
          <w:lang w:val="en-GB"/>
        </w:rPr>
        <w:t xml:space="preserve"> the annotated index will be preceded by the non-annotated index.</w:t>
      </w:r>
    </w:p>
    <w:p w14:paraId="004EAFA5" w14:textId="2A4DEED3" w:rsidR="00B73167" w:rsidRPr="00353C2A" w:rsidRDefault="00B73167" w:rsidP="00777A20">
      <w:pPr>
        <w:spacing w:line="360" w:lineRule="auto"/>
        <w:jc w:val="both"/>
        <w:rPr>
          <w:color w:val="FF0000"/>
          <w:lang w:val="en-GB"/>
        </w:rPr>
      </w:pPr>
      <w:r w:rsidRPr="00353C2A">
        <w:rPr>
          <w:color w:val="FF0000"/>
          <w:lang w:val="en-GB"/>
        </w:rPr>
        <w:t>The index consists of f</w:t>
      </w:r>
      <w:r w:rsidR="00B97282">
        <w:rPr>
          <w:color w:val="FF0000"/>
          <w:lang w:val="en-GB"/>
        </w:rPr>
        <w:t>ive</w:t>
      </w:r>
      <w:r w:rsidRPr="00353C2A">
        <w:rPr>
          <w:color w:val="FF0000"/>
          <w:lang w:val="en-GB"/>
        </w:rPr>
        <w:t xml:space="preserve"> Chapters:</w:t>
      </w:r>
    </w:p>
    <w:p w14:paraId="65B50F8D" w14:textId="38B38D53" w:rsidR="00B73167" w:rsidRPr="00353C2A" w:rsidRDefault="00B73167" w:rsidP="00777A20">
      <w:pPr>
        <w:numPr>
          <w:ilvl w:val="0"/>
          <w:numId w:val="4"/>
        </w:numPr>
        <w:spacing w:line="360" w:lineRule="auto"/>
        <w:jc w:val="both"/>
        <w:rPr>
          <w:color w:val="FF0000"/>
          <w:lang w:val="en-GB"/>
        </w:rPr>
      </w:pPr>
      <w:r w:rsidRPr="00353C2A">
        <w:rPr>
          <w:color w:val="FF0000"/>
          <w:lang w:val="en-GB"/>
        </w:rPr>
        <w:t>The instruments and national law</w:t>
      </w:r>
      <w:r w:rsidR="00777A20">
        <w:rPr>
          <w:color w:val="FF0000"/>
          <w:lang w:val="en-GB"/>
        </w:rPr>
        <w:t>;</w:t>
      </w:r>
    </w:p>
    <w:p w14:paraId="6E22806B" w14:textId="6EBB48F0" w:rsidR="00B73167" w:rsidRPr="00353C2A" w:rsidRDefault="00B73167" w:rsidP="00777A20">
      <w:pPr>
        <w:numPr>
          <w:ilvl w:val="0"/>
          <w:numId w:val="4"/>
        </w:numPr>
        <w:spacing w:line="360" w:lineRule="auto"/>
        <w:jc w:val="both"/>
        <w:rPr>
          <w:color w:val="FF0000"/>
          <w:lang w:val="en-GB"/>
        </w:rPr>
      </w:pPr>
      <w:r w:rsidRPr="00353C2A">
        <w:rPr>
          <w:color w:val="FF0000"/>
          <w:lang w:val="en-GB"/>
        </w:rPr>
        <w:t>The application of the instruments: investigation/prosecution</w:t>
      </w:r>
      <w:r w:rsidR="00777A20">
        <w:rPr>
          <w:color w:val="FF0000"/>
          <w:lang w:val="en-GB"/>
        </w:rPr>
        <w:t>;</w:t>
      </w:r>
    </w:p>
    <w:p w14:paraId="3CA57C30" w14:textId="1145937B" w:rsidR="00B73167" w:rsidRPr="00353C2A" w:rsidRDefault="00B73167" w:rsidP="00777A20">
      <w:pPr>
        <w:numPr>
          <w:ilvl w:val="0"/>
          <w:numId w:val="4"/>
        </w:numPr>
        <w:spacing w:line="360" w:lineRule="auto"/>
        <w:jc w:val="both"/>
        <w:rPr>
          <w:color w:val="FF0000"/>
          <w:lang w:val="en-GB"/>
        </w:rPr>
      </w:pPr>
      <w:r w:rsidRPr="00353C2A">
        <w:rPr>
          <w:color w:val="FF0000"/>
          <w:lang w:val="en-GB"/>
        </w:rPr>
        <w:t>The application of the instruments: enforcement</w:t>
      </w:r>
      <w:r w:rsidR="00777A20">
        <w:rPr>
          <w:color w:val="FF0000"/>
          <w:lang w:val="en-GB"/>
        </w:rPr>
        <w:t>;</w:t>
      </w:r>
    </w:p>
    <w:p w14:paraId="339A05E5" w14:textId="161C8ED9" w:rsidR="00B73167" w:rsidRDefault="00DD6759" w:rsidP="00777A20">
      <w:pPr>
        <w:numPr>
          <w:ilvl w:val="0"/>
          <w:numId w:val="4"/>
        </w:numPr>
        <w:spacing w:line="360" w:lineRule="auto"/>
        <w:jc w:val="both"/>
        <w:rPr>
          <w:color w:val="FF0000"/>
          <w:lang w:val="en-GB"/>
        </w:rPr>
      </w:pPr>
      <w:r>
        <w:rPr>
          <w:color w:val="FF0000"/>
          <w:lang w:val="en-GB"/>
        </w:rPr>
        <w:t>A</w:t>
      </w:r>
      <w:r w:rsidR="00B73167" w:rsidRPr="00353C2A">
        <w:rPr>
          <w:color w:val="FF0000"/>
          <w:lang w:val="en-GB"/>
        </w:rPr>
        <w:t>nticipating the application of instruments</w:t>
      </w:r>
      <w:r w:rsidR="00F408AB">
        <w:rPr>
          <w:color w:val="FF0000"/>
          <w:lang w:val="en-GB"/>
        </w:rPr>
        <w:t>: sentencing</w:t>
      </w:r>
      <w:r w:rsidR="00777A20">
        <w:rPr>
          <w:color w:val="FF0000"/>
          <w:lang w:val="en-GB"/>
        </w:rPr>
        <w:t>;</w:t>
      </w:r>
    </w:p>
    <w:p w14:paraId="1D305470" w14:textId="4AE876BB" w:rsidR="00F408AB" w:rsidRPr="00F408AB" w:rsidRDefault="00F408AB" w:rsidP="00777A20">
      <w:pPr>
        <w:pStyle w:val="Listenabsatz"/>
        <w:numPr>
          <w:ilvl w:val="0"/>
          <w:numId w:val="4"/>
        </w:numPr>
        <w:jc w:val="both"/>
        <w:rPr>
          <w:color w:val="FF0000"/>
          <w:kern w:val="0"/>
          <w:lang w:val="en-GB"/>
          <w14:ligatures w14:val="none"/>
        </w:rPr>
      </w:pPr>
      <w:r w:rsidRPr="00F408AB">
        <w:rPr>
          <w:color w:val="FF0000"/>
          <w:lang w:val="en-GB"/>
        </w:rPr>
        <w:t xml:space="preserve"> </w:t>
      </w:r>
      <w:r w:rsidRPr="00F408AB">
        <w:rPr>
          <w:color w:val="FF0000"/>
          <w:kern w:val="0"/>
          <w:lang w:val="en-GB"/>
          <w14:ligatures w14:val="none"/>
        </w:rPr>
        <w:t xml:space="preserve">Miscellaneous: whereabouts unknown and </w:t>
      </w:r>
      <w:r w:rsidRPr="00061D9A">
        <w:rPr>
          <w:i/>
          <w:iCs/>
          <w:color w:val="FF0000"/>
          <w:kern w:val="0"/>
          <w:lang w:val="en-GB"/>
          <w14:ligatures w14:val="none"/>
        </w:rPr>
        <w:t>in absentia</w:t>
      </w:r>
      <w:r w:rsidR="00777A20">
        <w:rPr>
          <w:iCs/>
          <w:color w:val="FF0000"/>
          <w:kern w:val="0"/>
          <w:lang w:val="en-GB"/>
          <w14:ligatures w14:val="none"/>
        </w:rPr>
        <w:t>.</w:t>
      </w:r>
    </w:p>
    <w:p w14:paraId="521734F5" w14:textId="62240DCC" w:rsidR="00F408AB" w:rsidRPr="00353C2A" w:rsidRDefault="00F408AB" w:rsidP="00777A20">
      <w:pPr>
        <w:spacing w:line="360" w:lineRule="auto"/>
        <w:ind w:left="720"/>
        <w:jc w:val="both"/>
        <w:rPr>
          <w:color w:val="FF0000"/>
          <w:lang w:val="en-GB"/>
        </w:rPr>
      </w:pPr>
    </w:p>
    <w:p w14:paraId="6E2947FC" w14:textId="77777777" w:rsidR="00B73167" w:rsidRPr="00353C2A" w:rsidRDefault="00B73167" w:rsidP="00777A20">
      <w:pPr>
        <w:spacing w:line="360" w:lineRule="auto"/>
        <w:jc w:val="both"/>
        <w:rPr>
          <w:i/>
          <w:iCs/>
          <w:color w:val="FF0000"/>
          <w:lang w:val="en-GB"/>
        </w:rPr>
      </w:pPr>
      <w:r w:rsidRPr="00353C2A">
        <w:rPr>
          <w:i/>
          <w:iCs/>
          <w:color w:val="FF0000"/>
          <w:lang w:val="en-GB"/>
        </w:rPr>
        <w:t>MR2.0</w:t>
      </w:r>
      <w:r w:rsidRPr="00353C2A">
        <w:rPr>
          <w:i/>
          <w:iCs/>
          <w:color w:val="FF0000"/>
          <w:lang w:val="en-GB"/>
        </w:rPr>
        <w:tab/>
        <w:t>Methodology</w:t>
      </w:r>
    </w:p>
    <w:p w14:paraId="40BB78F2" w14:textId="77777777" w:rsidR="00B73167" w:rsidRPr="00353C2A" w:rsidRDefault="00B73167" w:rsidP="00777A20">
      <w:pPr>
        <w:spacing w:line="360" w:lineRule="auto"/>
        <w:jc w:val="both"/>
        <w:rPr>
          <w:color w:val="FF0000"/>
          <w:lang w:val="en-GB"/>
        </w:rPr>
      </w:pPr>
    </w:p>
    <w:p w14:paraId="731BB30E" w14:textId="77777777" w:rsidR="00B73167" w:rsidRPr="00353C2A" w:rsidRDefault="00B73167" w:rsidP="00777A20">
      <w:pPr>
        <w:spacing w:line="360" w:lineRule="auto"/>
        <w:jc w:val="both"/>
        <w:rPr>
          <w:color w:val="FF0000"/>
          <w:lang w:val="en-GB"/>
        </w:rPr>
      </w:pPr>
      <w:r w:rsidRPr="00353C2A">
        <w:rPr>
          <w:color w:val="FF0000"/>
          <w:lang w:val="en-GB"/>
        </w:rPr>
        <w:t>The research to be conducted by the NARs consists of three elements:</w:t>
      </w:r>
    </w:p>
    <w:p w14:paraId="08B10372" w14:textId="77777777" w:rsidR="00B73167" w:rsidRPr="00353C2A" w:rsidRDefault="00B73167" w:rsidP="00777A20">
      <w:pPr>
        <w:spacing w:line="360" w:lineRule="auto"/>
        <w:jc w:val="both"/>
        <w:rPr>
          <w:color w:val="FF0000"/>
          <w:lang w:val="en-GB"/>
        </w:rPr>
      </w:pPr>
    </w:p>
    <w:p w14:paraId="09DDDA80" w14:textId="54FC9FA3" w:rsidR="00B73167" w:rsidRPr="00353C2A" w:rsidRDefault="00B73167" w:rsidP="00777A20">
      <w:pPr>
        <w:numPr>
          <w:ilvl w:val="0"/>
          <w:numId w:val="3"/>
        </w:numPr>
        <w:spacing w:line="360" w:lineRule="auto"/>
        <w:jc w:val="both"/>
        <w:rPr>
          <w:color w:val="FF0000"/>
          <w:lang w:val="en-GB"/>
        </w:rPr>
      </w:pPr>
      <w:r w:rsidRPr="00353C2A">
        <w:rPr>
          <w:color w:val="FF0000"/>
          <w:lang w:val="en-GB"/>
        </w:rPr>
        <w:t xml:space="preserve">European/national law and national case-law (essentially concerning issues of transposition, competent national authorities, </w:t>
      </w:r>
      <w:r w:rsidR="00777A20">
        <w:rPr>
          <w:color w:val="FF0000"/>
          <w:lang w:val="en-GB"/>
        </w:rPr>
        <w:t xml:space="preserve">and the </w:t>
      </w:r>
      <w:r w:rsidRPr="00353C2A">
        <w:rPr>
          <w:color w:val="FF0000"/>
          <w:lang w:val="en-GB"/>
        </w:rPr>
        <w:t>scope of European/national instruments);</w:t>
      </w:r>
    </w:p>
    <w:p w14:paraId="1F1408D0" w14:textId="77777777" w:rsidR="00B73167" w:rsidRPr="00353C2A" w:rsidRDefault="00B73167" w:rsidP="00777A20">
      <w:pPr>
        <w:spacing w:line="360" w:lineRule="auto"/>
        <w:jc w:val="both"/>
        <w:rPr>
          <w:color w:val="FF0000"/>
          <w:lang w:val="en-GB"/>
        </w:rPr>
      </w:pPr>
    </w:p>
    <w:p w14:paraId="5EA2E2C3" w14:textId="77777777" w:rsidR="00B73167" w:rsidRPr="00353C2A" w:rsidRDefault="00B73167" w:rsidP="00777A20">
      <w:pPr>
        <w:numPr>
          <w:ilvl w:val="0"/>
          <w:numId w:val="3"/>
        </w:numPr>
        <w:spacing w:line="360" w:lineRule="auto"/>
        <w:jc w:val="both"/>
        <w:rPr>
          <w:color w:val="FF0000"/>
          <w:lang w:val="en-GB"/>
        </w:rPr>
      </w:pPr>
      <w:r w:rsidRPr="00353C2A">
        <w:rPr>
          <w:color w:val="FF0000"/>
          <w:lang w:val="en-GB"/>
        </w:rPr>
        <w:t>Considerations that (can) play a role when the competent national authority decides whether or not to request a specific form of judicial cooperation;</w:t>
      </w:r>
    </w:p>
    <w:p w14:paraId="29E22C75" w14:textId="77777777" w:rsidR="00B73167" w:rsidRPr="00353C2A" w:rsidRDefault="00B73167" w:rsidP="00777A20">
      <w:pPr>
        <w:spacing w:line="360" w:lineRule="auto"/>
        <w:jc w:val="both"/>
        <w:rPr>
          <w:color w:val="FF0000"/>
          <w:lang w:val="en-GB"/>
        </w:rPr>
      </w:pPr>
    </w:p>
    <w:p w14:paraId="64D04145" w14:textId="138EFFF9" w:rsidR="00B73167" w:rsidRDefault="00B73167" w:rsidP="00777A20">
      <w:pPr>
        <w:numPr>
          <w:ilvl w:val="0"/>
          <w:numId w:val="3"/>
        </w:numPr>
        <w:spacing w:line="360" w:lineRule="auto"/>
        <w:jc w:val="both"/>
        <w:rPr>
          <w:color w:val="FF0000"/>
          <w:lang w:val="en-GB"/>
        </w:rPr>
      </w:pPr>
      <w:r w:rsidRPr="00353C2A">
        <w:rPr>
          <w:color w:val="FF0000"/>
          <w:lang w:val="en-GB"/>
        </w:rPr>
        <w:t xml:space="preserve">Whether the competent national authorities apply the instruments in an ‘effective and coherent’ manner (within the meaning of </w:t>
      </w:r>
      <w:r w:rsidRPr="00353C2A">
        <w:rPr>
          <w:i/>
          <w:iCs/>
          <w:color w:val="FF0000"/>
          <w:lang w:val="en-GB"/>
        </w:rPr>
        <w:t>MR2.0: some preliminary explorations</w:t>
      </w:r>
      <w:r w:rsidRPr="00353C2A">
        <w:rPr>
          <w:color w:val="FF0000"/>
          <w:lang w:val="en-GB"/>
        </w:rPr>
        <w:t>).</w:t>
      </w:r>
      <w:r w:rsidRPr="00353C2A">
        <w:rPr>
          <w:rStyle w:val="Funotenzeichen"/>
          <w:rFonts w:eastAsiaTheme="majorEastAsia"/>
          <w:color w:val="FF0000"/>
          <w:lang w:val="en-GB"/>
        </w:rPr>
        <w:footnoteReference w:id="1"/>
      </w:r>
    </w:p>
    <w:p w14:paraId="6FFEAC1A" w14:textId="7E47129C" w:rsidR="0080120D" w:rsidRPr="00353C2A" w:rsidRDefault="0080120D" w:rsidP="00777A20">
      <w:pPr>
        <w:spacing w:line="360" w:lineRule="auto"/>
        <w:jc w:val="both"/>
        <w:rPr>
          <w:color w:val="FF0000"/>
          <w:lang w:val="en-GB"/>
        </w:rPr>
      </w:pPr>
    </w:p>
    <w:p w14:paraId="7AD244A4" w14:textId="77777777" w:rsidR="00B73167" w:rsidRPr="00353C2A" w:rsidRDefault="00B73167" w:rsidP="00777A20">
      <w:pPr>
        <w:spacing w:line="360" w:lineRule="auto"/>
        <w:jc w:val="both"/>
        <w:rPr>
          <w:color w:val="FF0000"/>
          <w:lang w:val="en-GB"/>
        </w:rPr>
      </w:pPr>
      <w:r w:rsidRPr="00353C2A">
        <w:rPr>
          <w:color w:val="FF0000"/>
          <w:lang w:val="en-GB"/>
        </w:rPr>
        <w:lastRenderedPageBreak/>
        <w:t xml:space="preserve">Ad I </w:t>
      </w:r>
    </w:p>
    <w:p w14:paraId="6FA0515E" w14:textId="77777777" w:rsidR="00B73167" w:rsidRPr="00353C2A" w:rsidRDefault="00B73167" w:rsidP="00777A20">
      <w:pPr>
        <w:spacing w:line="360" w:lineRule="auto"/>
        <w:jc w:val="both"/>
        <w:rPr>
          <w:color w:val="FF0000"/>
          <w:lang w:val="en-GB"/>
        </w:rPr>
      </w:pPr>
    </w:p>
    <w:p w14:paraId="745E84D9" w14:textId="6355EA33" w:rsidR="00B73167" w:rsidRPr="00353C2A" w:rsidRDefault="00B73167" w:rsidP="00777A20">
      <w:pPr>
        <w:spacing w:line="360" w:lineRule="auto"/>
        <w:jc w:val="both"/>
        <w:rPr>
          <w:color w:val="FF0000"/>
          <w:lang w:val="en-GB"/>
        </w:rPr>
      </w:pPr>
      <w:r w:rsidRPr="00353C2A">
        <w:rPr>
          <w:color w:val="FF0000"/>
          <w:lang w:val="en-GB"/>
        </w:rPr>
        <w:t xml:space="preserve">This element of the research is partly descriptive, </w:t>
      </w:r>
      <w:r w:rsidR="00777A20">
        <w:rPr>
          <w:color w:val="FF0000"/>
          <w:lang w:val="en-GB"/>
        </w:rPr>
        <w:t xml:space="preserve">and </w:t>
      </w:r>
      <w:r w:rsidRPr="00353C2A">
        <w:rPr>
          <w:color w:val="FF0000"/>
          <w:lang w:val="en-GB"/>
        </w:rPr>
        <w:t>partly analytical (the latter with regard to the scope of European/national instruments).</w:t>
      </w:r>
    </w:p>
    <w:p w14:paraId="691B62DA" w14:textId="58463C48" w:rsidR="00B73167" w:rsidRPr="00353C2A" w:rsidRDefault="00B73167" w:rsidP="00777A20">
      <w:pPr>
        <w:spacing w:line="360" w:lineRule="auto"/>
        <w:jc w:val="both"/>
        <w:rPr>
          <w:color w:val="FF0000"/>
          <w:lang w:val="en-GB"/>
        </w:rPr>
      </w:pPr>
      <w:r w:rsidRPr="00353C2A">
        <w:rPr>
          <w:color w:val="FF0000"/>
          <w:lang w:val="en-GB"/>
        </w:rPr>
        <w:t>The NARs will draw upon their own knowledge as national experts</w:t>
      </w:r>
      <w:r w:rsidRPr="00353C2A">
        <w:rPr>
          <w:color w:val="FF0000"/>
          <w:vertAlign w:val="superscript"/>
          <w:lang w:val="en-GB"/>
        </w:rPr>
        <w:footnoteReference w:id="2"/>
      </w:r>
      <w:r w:rsidRPr="00353C2A">
        <w:rPr>
          <w:color w:val="FF0000"/>
          <w:lang w:val="en-GB"/>
        </w:rPr>
        <w:t xml:space="preserve"> and supplement it, if need be, by case-law and legal literature research.</w:t>
      </w:r>
    </w:p>
    <w:p w14:paraId="5AAC464C" w14:textId="77777777" w:rsidR="00B73167" w:rsidRPr="00353C2A" w:rsidRDefault="00B73167" w:rsidP="00777A20">
      <w:pPr>
        <w:spacing w:line="360" w:lineRule="auto"/>
        <w:jc w:val="both"/>
        <w:rPr>
          <w:color w:val="FF0000"/>
          <w:lang w:val="en-GB"/>
        </w:rPr>
      </w:pPr>
    </w:p>
    <w:p w14:paraId="1E11AA2D" w14:textId="77777777" w:rsidR="00B73167" w:rsidRPr="00353C2A" w:rsidRDefault="00B73167" w:rsidP="00777A20">
      <w:pPr>
        <w:spacing w:line="360" w:lineRule="auto"/>
        <w:jc w:val="both"/>
        <w:rPr>
          <w:color w:val="FF0000"/>
          <w:lang w:val="en-GB"/>
        </w:rPr>
      </w:pPr>
      <w:r w:rsidRPr="00353C2A">
        <w:rPr>
          <w:color w:val="FF0000"/>
          <w:lang w:val="en-GB"/>
        </w:rPr>
        <w:t xml:space="preserve">Ad II </w:t>
      </w:r>
    </w:p>
    <w:p w14:paraId="26BA4EA6" w14:textId="77777777" w:rsidR="00B73167" w:rsidRPr="00353C2A" w:rsidRDefault="00B73167" w:rsidP="00777A20">
      <w:pPr>
        <w:spacing w:line="360" w:lineRule="auto"/>
        <w:jc w:val="both"/>
        <w:rPr>
          <w:color w:val="FF0000"/>
          <w:lang w:val="en-GB"/>
        </w:rPr>
      </w:pPr>
    </w:p>
    <w:p w14:paraId="54680906" w14:textId="77777777" w:rsidR="00B73167" w:rsidRPr="00353C2A" w:rsidRDefault="00B73167" w:rsidP="00777A20">
      <w:pPr>
        <w:spacing w:line="360" w:lineRule="auto"/>
        <w:jc w:val="both"/>
        <w:rPr>
          <w:color w:val="FF0000"/>
          <w:lang w:val="en-GB"/>
        </w:rPr>
      </w:pPr>
      <w:r w:rsidRPr="00353C2A">
        <w:rPr>
          <w:color w:val="FF0000"/>
          <w:lang w:val="en-GB"/>
        </w:rPr>
        <w:t xml:space="preserve">This element of the research is descriptive. </w:t>
      </w:r>
    </w:p>
    <w:p w14:paraId="362F1966" w14:textId="5474D475" w:rsidR="00B73167" w:rsidRPr="00353C2A" w:rsidRDefault="00B73167" w:rsidP="00777A20">
      <w:pPr>
        <w:spacing w:line="360" w:lineRule="auto"/>
        <w:jc w:val="both"/>
        <w:rPr>
          <w:color w:val="FF0000"/>
          <w:lang w:val="en-GB"/>
        </w:rPr>
      </w:pPr>
      <w:r w:rsidRPr="00353C2A">
        <w:rPr>
          <w:color w:val="FF0000"/>
          <w:lang w:val="en-GB"/>
        </w:rPr>
        <w:t xml:space="preserve">Case-file research does not seem to be the most adequate means of research to get those considerations out into the open. The most direct source of information on such considerations are the competent national authorities themselves. Therefore, qualitative interviews with representative members of the competent national authorities are the best method of getting a clear picture of what these considerations are. For pragmatic reasons, it is only possible to interview a relatively small number of representative practitioners. In order to ensure that the findings – and any conclusions based on them (see Ad III) – are sufficiently valid, the selection of practitioners is of particular importance. </w:t>
      </w:r>
      <w:r w:rsidR="00B97282">
        <w:rPr>
          <w:color w:val="FF0000"/>
          <w:lang w:val="en-GB"/>
        </w:rPr>
        <w:t>Moreover, t</w:t>
      </w:r>
      <w:r w:rsidR="004D3C91">
        <w:rPr>
          <w:color w:val="FF0000"/>
          <w:lang w:val="en-GB"/>
        </w:rPr>
        <w:t xml:space="preserve">he NARs are encouraged to include </w:t>
      </w:r>
      <w:r w:rsidR="00B97282">
        <w:rPr>
          <w:color w:val="FF0000"/>
          <w:lang w:val="en-GB"/>
        </w:rPr>
        <w:t xml:space="preserve">not only </w:t>
      </w:r>
      <w:r w:rsidR="004D3C91">
        <w:rPr>
          <w:color w:val="FF0000"/>
          <w:lang w:val="en-GB"/>
        </w:rPr>
        <w:t xml:space="preserve">practitioners who are members of the competent national authorities </w:t>
      </w:r>
      <w:r w:rsidR="00B97282">
        <w:rPr>
          <w:color w:val="FF0000"/>
          <w:lang w:val="en-GB"/>
        </w:rPr>
        <w:t xml:space="preserve">but also other practitioners </w:t>
      </w:r>
      <w:r w:rsidR="004D3C91">
        <w:rPr>
          <w:color w:val="FF0000"/>
          <w:lang w:val="en-GB"/>
        </w:rPr>
        <w:t>(such as defence lawyers)</w:t>
      </w:r>
      <w:r w:rsidR="00AC61BB">
        <w:rPr>
          <w:color w:val="FF0000"/>
          <w:lang w:val="en-GB"/>
        </w:rPr>
        <w:t>,</w:t>
      </w:r>
      <w:r w:rsidR="004D3C91">
        <w:rPr>
          <w:color w:val="FF0000"/>
          <w:lang w:val="en-GB"/>
        </w:rPr>
        <w:t xml:space="preserve"> and academics. </w:t>
      </w:r>
      <w:r w:rsidRPr="00353C2A">
        <w:rPr>
          <w:color w:val="FF0000"/>
          <w:lang w:val="en-GB"/>
        </w:rPr>
        <w:t xml:space="preserve">The NARs are furthermore encouraged to refer to any cases they are aware of, to national case-law </w:t>
      </w:r>
      <w:r w:rsidR="00D30852">
        <w:rPr>
          <w:color w:val="FF0000"/>
          <w:lang w:val="en-GB"/>
        </w:rPr>
        <w:t xml:space="preserve">(e.g. judicial decisions on appeal against decisions of the competent authority whether or not to request judicial cooperation) </w:t>
      </w:r>
      <w:r w:rsidRPr="00353C2A">
        <w:rPr>
          <w:color w:val="FF0000"/>
          <w:lang w:val="en-GB"/>
        </w:rPr>
        <w:t>or to literature, wherever possible, in order to corroborate or refute, as the case may be, the considerations mentioned by the interviewees. In addition, in the stage of drawing up the research report the findings from the other Member States could also be used as corroboration/refutation.</w:t>
      </w:r>
    </w:p>
    <w:p w14:paraId="47EE3F50" w14:textId="712B4281" w:rsidR="00B73167" w:rsidRDefault="00B73167" w:rsidP="00777A20">
      <w:pPr>
        <w:spacing w:line="360" w:lineRule="auto"/>
        <w:jc w:val="both"/>
        <w:rPr>
          <w:color w:val="FF0000"/>
          <w:lang w:val="en-GB"/>
        </w:rPr>
      </w:pPr>
    </w:p>
    <w:p w14:paraId="23A35044" w14:textId="5D659540" w:rsidR="00777A20" w:rsidRDefault="00777A20" w:rsidP="00777A20">
      <w:pPr>
        <w:spacing w:line="360" w:lineRule="auto"/>
        <w:jc w:val="both"/>
        <w:rPr>
          <w:color w:val="FF0000"/>
          <w:lang w:val="en-GB"/>
        </w:rPr>
      </w:pPr>
    </w:p>
    <w:p w14:paraId="1D1BA247" w14:textId="7C03D897" w:rsidR="00777A20" w:rsidRDefault="00777A20" w:rsidP="00777A20">
      <w:pPr>
        <w:spacing w:line="360" w:lineRule="auto"/>
        <w:jc w:val="both"/>
        <w:rPr>
          <w:color w:val="FF0000"/>
          <w:lang w:val="en-GB"/>
        </w:rPr>
      </w:pPr>
    </w:p>
    <w:p w14:paraId="3A992499" w14:textId="096BC98D" w:rsidR="00777A20" w:rsidRDefault="00777A20" w:rsidP="00777A20">
      <w:pPr>
        <w:spacing w:line="360" w:lineRule="auto"/>
        <w:jc w:val="both"/>
        <w:rPr>
          <w:color w:val="FF0000"/>
          <w:lang w:val="en-GB"/>
        </w:rPr>
      </w:pPr>
    </w:p>
    <w:p w14:paraId="071FEB16" w14:textId="58F815F7" w:rsidR="00777A20" w:rsidRDefault="00777A20" w:rsidP="00777A20">
      <w:pPr>
        <w:spacing w:line="360" w:lineRule="auto"/>
        <w:jc w:val="both"/>
        <w:rPr>
          <w:color w:val="FF0000"/>
          <w:lang w:val="en-GB"/>
        </w:rPr>
      </w:pPr>
    </w:p>
    <w:p w14:paraId="406F9BA4" w14:textId="77777777" w:rsidR="00777A20" w:rsidRPr="00353C2A" w:rsidRDefault="00777A20" w:rsidP="00777A20">
      <w:pPr>
        <w:spacing w:line="360" w:lineRule="auto"/>
        <w:jc w:val="both"/>
        <w:rPr>
          <w:color w:val="FF0000"/>
          <w:lang w:val="en-GB"/>
        </w:rPr>
      </w:pPr>
    </w:p>
    <w:p w14:paraId="19FFB110" w14:textId="77777777" w:rsidR="00B73167" w:rsidRPr="00353C2A" w:rsidRDefault="00B73167" w:rsidP="00777A20">
      <w:pPr>
        <w:spacing w:line="360" w:lineRule="auto"/>
        <w:jc w:val="both"/>
        <w:rPr>
          <w:color w:val="FF0000"/>
          <w:lang w:val="en-GB"/>
        </w:rPr>
      </w:pPr>
      <w:r w:rsidRPr="00353C2A">
        <w:rPr>
          <w:color w:val="FF0000"/>
          <w:lang w:val="en-GB"/>
        </w:rPr>
        <w:lastRenderedPageBreak/>
        <w:t>Ad III</w:t>
      </w:r>
    </w:p>
    <w:p w14:paraId="013873DB" w14:textId="77777777" w:rsidR="00B73167" w:rsidRPr="00353C2A" w:rsidRDefault="00B73167" w:rsidP="00777A20">
      <w:pPr>
        <w:spacing w:line="360" w:lineRule="auto"/>
        <w:jc w:val="both"/>
        <w:rPr>
          <w:color w:val="FF0000"/>
          <w:lang w:val="en-GB"/>
        </w:rPr>
      </w:pPr>
    </w:p>
    <w:p w14:paraId="6DC13F25" w14:textId="77777777" w:rsidR="00B73167" w:rsidRPr="00353C2A" w:rsidRDefault="00B73167" w:rsidP="00777A20">
      <w:pPr>
        <w:spacing w:line="360" w:lineRule="auto"/>
        <w:jc w:val="both"/>
        <w:rPr>
          <w:color w:val="FF0000"/>
          <w:lang w:val="en-GB"/>
        </w:rPr>
      </w:pPr>
      <w:r w:rsidRPr="00353C2A">
        <w:rPr>
          <w:color w:val="FF0000"/>
          <w:lang w:val="en-GB"/>
        </w:rPr>
        <w:t>This element is of an analytical and a more normative nature.</w:t>
      </w:r>
    </w:p>
    <w:p w14:paraId="29A05D30" w14:textId="77777777" w:rsidR="00B73167" w:rsidRPr="00353C2A" w:rsidRDefault="00B73167" w:rsidP="00777A20">
      <w:pPr>
        <w:spacing w:line="360" w:lineRule="auto"/>
        <w:jc w:val="both"/>
        <w:rPr>
          <w:color w:val="FF0000"/>
          <w:lang w:val="en-GB"/>
        </w:rPr>
      </w:pPr>
      <w:r w:rsidRPr="00353C2A">
        <w:rPr>
          <w:color w:val="FF0000"/>
          <w:lang w:val="en-GB"/>
        </w:rPr>
        <w:t xml:space="preserve">The NARs will analyse the considerations that play a role when their MS’ authorities decide whether or not to request judicial cooperation (see Ad II) and will determine whether those authorities apply the instruments in an ‘effective and coherent’ manner. </w:t>
      </w:r>
    </w:p>
    <w:p w14:paraId="47270886" w14:textId="77777777" w:rsidR="0080120D" w:rsidRPr="00353C2A" w:rsidRDefault="0080120D" w:rsidP="00777A20">
      <w:pPr>
        <w:spacing w:line="360" w:lineRule="auto"/>
        <w:jc w:val="both"/>
        <w:rPr>
          <w:color w:val="FF0000"/>
          <w:lang w:val="en-GB"/>
        </w:rPr>
      </w:pPr>
    </w:p>
    <w:p w14:paraId="603A88FB" w14:textId="77777777" w:rsidR="00B73167" w:rsidRPr="00353C2A" w:rsidRDefault="00B73167" w:rsidP="00777A20">
      <w:pPr>
        <w:spacing w:line="360" w:lineRule="auto"/>
        <w:jc w:val="both"/>
        <w:rPr>
          <w:color w:val="FF0000"/>
          <w:lang w:val="en-GB"/>
        </w:rPr>
      </w:pPr>
      <w:r w:rsidRPr="00353C2A">
        <w:rPr>
          <w:color w:val="FF0000"/>
          <w:lang w:val="en-GB"/>
        </w:rPr>
        <w:t>In doing so, they will also identify:</w:t>
      </w:r>
    </w:p>
    <w:p w14:paraId="40A600BE" w14:textId="77777777" w:rsidR="00B73167" w:rsidRPr="00353C2A" w:rsidRDefault="00B73167" w:rsidP="00777A20">
      <w:pPr>
        <w:numPr>
          <w:ilvl w:val="0"/>
          <w:numId w:val="1"/>
        </w:numPr>
        <w:spacing w:line="360" w:lineRule="auto"/>
        <w:jc w:val="both"/>
        <w:rPr>
          <w:color w:val="FF0000"/>
          <w:lang w:val="en-GB"/>
        </w:rPr>
      </w:pPr>
      <w:r w:rsidRPr="00353C2A">
        <w:rPr>
          <w:color w:val="FF0000"/>
          <w:lang w:val="en-GB"/>
        </w:rPr>
        <w:t xml:space="preserve">any defects that stand in the way of ‘effective and coherent’ application, </w:t>
      </w:r>
      <w:r w:rsidRPr="00353C2A">
        <w:rPr>
          <w:i/>
          <w:iCs/>
          <w:color w:val="FF0000"/>
          <w:lang w:val="en-GB"/>
        </w:rPr>
        <w:t>e.g.</w:t>
      </w:r>
      <w:r w:rsidRPr="00353C2A">
        <w:rPr>
          <w:color w:val="FF0000"/>
          <w:lang w:val="en-GB"/>
        </w:rPr>
        <w:t xml:space="preserve"> defects in:</w:t>
      </w:r>
    </w:p>
    <w:p w14:paraId="3B7740A8" w14:textId="77777777" w:rsidR="00B73167" w:rsidRPr="00353C2A" w:rsidRDefault="00B73167" w:rsidP="00777A20">
      <w:pPr>
        <w:numPr>
          <w:ilvl w:val="1"/>
          <w:numId w:val="1"/>
        </w:numPr>
        <w:spacing w:line="360" w:lineRule="auto"/>
        <w:jc w:val="both"/>
        <w:rPr>
          <w:color w:val="FF0000"/>
          <w:lang w:val="en-GB"/>
        </w:rPr>
      </w:pPr>
      <w:r w:rsidRPr="00353C2A">
        <w:rPr>
          <w:color w:val="FF0000"/>
          <w:lang w:val="en-GB"/>
        </w:rPr>
        <w:t>EU/CoE legislation;</w:t>
      </w:r>
    </w:p>
    <w:p w14:paraId="68F83962" w14:textId="77777777" w:rsidR="00B73167" w:rsidRPr="00353C2A" w:rsidRDefault="00B73167" w:rsidP="00777A20">
      <w:pPr>
        <w:numPr>
          <w:ilvl w:val="1"/>
          <w:numId w:val="1"/>
        </w:numPr>
        <w:spacing w:line="360" w:lineRule="auto"/>
        <w:jc w:val="both"/>
        <w:rPr>
          <w:color w:val="FF0000"/>
          <w:lang w:val="en-GB"/>
        </w:rPr>
      </w:pPr>
      <w:r w:rsidRPr="00353C2A">
        <w:rPr>
          <w:color w:val="FF0000"/>
          <w:lang w:val="en-GB"/>
        </w:rPr>
        <w:t>National legislation;</w:t>
      </w:r>
    </w:p>
    <w:p w14:paraId="15BE41F7" w14:textId="77777777" w:rsidR="00B73167" w:rsidRPr="00353C2A" w:rsidRDefault="00B73167" w:rsidP="00777A20">
      <w:pPr>
        <w:numPr>
          <w:ilvl w:val="1"/>
          <w:numId w:val="1"/>
        </w:numPr>
        <w:spacing w:line="360" w:lineRule="auto"/>
        <w:jc w:val="both"/>
        <w:rPr>
          <w:color w:val="FF0000"/>
          <w:lang w:val="en-GB"/>
        </w:rPr>
      </w:pPr>
      <w:r w:rsidRPr="00353C2A">
        <w:rPr>
          <w:color w:val="FF0000"/>
          <w:lang w:val="en-GB"/>
        </w:rPr>
        <w:t>National practice;</w:t>
      </w:r>
    </w:p>
    <w:p w14:paraId="3EF560A5" w14:textId="77777777" w:rsidR="00B73167" w:rsidRPr="00353C2A" w:rsidRDefault="00B73167" w:rsidP="00777A20">
      <w:pPr>
        <w:numPr>
          <w:ilvl w:val="0"/>
          <w:numId w:val="1"/>
        </w:numPr>
        <w:spacing w:line="360" w:lineRule="auto"/>
        <w:jc w:val="both"/>
        <w:rPr>
          <w:color w:val="FF0000"/>
          <w:lang w:val="en-GB"/>
        </w:rPr>
      </w:pPr>
      <w:r w:rsidRPr="00353C2A">
        <w:rPr>
          <w:color w:val="FF0000"/>
          <w:lang w:val="en-GB"/>
        </w:rPr>
        <w:t xml:space="preserve">any best practices that facilitate ‘effective and coherent’ application. </w:t>
      </w:r>
    </w:p>
    <w:p w14:paraId="66897175" w14:textId="77777777" w:rsidR="00B73167" w:rsidRPr="00353C2A" w:rsidRDefault="00B73167" w:rsidP="00777A20">
      <w:pPr>
        <w:spacing w:line="360" w:lineRule="auto"/>
        <w:jc w:val="both"/>
        <w:rPr>
          <w:color w:val="FF0000"/>
          <w:lang w:val="en-GB"/>
        </w:rPr>
      </w:pPr>
    </w:p>
    <w:p w14:paraId="41D27556" w14:textId="77777777" w:rsidR="00B73167" w:rsidRPr="00353C2A" w:rsidRDefault="00B73167" w:rsidP="00777A20">
      <w:pPr>
        <w:spacing w:line="360" w:lineRule="auto"/>
        <w:jc w:val="both"/>
        <w:rPr>
          <w:color w:val="FF0000"/>
          <w:lang w:val="en-GB"/>
        </w:rPr>
      </w:pPr>
      <w:r w:rsidRPr="00353C2A">
        <w:rPr>
          <w:i/>
          <w:iCs/>
          <w:color w:val="FF0000"/>
          <w:lang w:val="en-GB"/>
        </w:rPr>
        <w:t>Output</w:t>
      </w:r>
    </w:p>
    <w:p w14:paraId="41EC4A4B" w14:textId="77777777" w:rsidR="00B73167" w:rsidRPr="00353C2A" w:rsidRDefault="00B73167" w:rsidP="00777A20">
      <w:pPr>
        <w:spacing w:line="360" w:lineRule="auto"/>
        <w:jc w:val="both"/>
        <w:rPr>
          <w:color w:val="FF0000"/>
          <w:lang w:val="en-GB"/>
        </w:rPr>
      </w:pPr>
    </w:p>
    <w:p w14:paraId="20EB0839" w14:textId="77777777" w:rsidR="00B73167" w:rsidRPr="00353C2A" w:rsidRDefault="00B73167" w:rsidP="00777A20">
      <w:pPr>
        <w:spacing w:line="360" w:lineRule="auto"/>
        <w:jc w:val="both"/>
        <w:rPr>
          <w:color w:val="FF0000"/>
          <w:lang w:val="en-GB"/>
        </w:rPr>
      </w:pPr>
      <w:r w:rsidRPr="00353C2A">
        <w:rPr>
          <w:color w:val="FF0000"/>
          <w:lang w:val="en-GB"/>
        </w:rPr>
        <w:t>The research will result in:</w:t>
      </w:r>
    </w:p>
    <w:p w14:paraId="73A7388A" w14:textId="77777777" w:rsidR="00B73167" w:rsidRPr="00353C2A" w:rsidRDefault="00B73167" w:rsidP="00777A20">
      <w:pPr>
        <w:numPr>
          <w:ilvl w:val="0"/>
          <w:numId w:val="2"/>
        </w:numPr>
        <w:spacing w:line="360" w:lineRule="auto"/>
        <w:jc w:val="both"/>
        <w:rPr>
          <w:color w:val="FF0000"/>
          <w:lang w:val="en-GB"/>
        </w:rPr>
      </w:pPr>
      <w:r w:rsidRPr="00353C2A">
        <w:rPr>
          <w:color w:val="FF0000"/>
          <w:lang w:val="en-GB"/>
        </w:rPr>
        <w:t>a country report in which the outcome of the first two elements of the research as described above will be laid down and which will be part of the final research report;</w:t>
      </w:r>
    </w:p>
    <w:p w14:paraId="65482436" w14:textId="048D96E4" w:rsidR="0035691C" w:rsidRPr="0035691C" w:rsidRDefault="00B73167" w:rsidP="00777A20">
      <w:pPr>
        <w:numPr>
          <w:ilvl w:val="0"/>
          <w:numId w:val="2"/>
        </w:numPr>
        <w:spacing w:line="360" w:lineRule="auto"/>
        <w:jc w:val="both"/>
        <w:rPr>
          <w:lang w:val="en-GB"/>
        </w:rPr>
      </w:pPr>
      <w:r w:rsidRPr="00353C2A">
        <w:rPr>
          <w:color w:val="FF0000"/>
          <w:lang w:val="en-GB"/>
        </w:rPr>
        <w:t>a separate memorandum which contains the outcome of the third element and which will be used for drafting the overall analysis based on all country reports.</w:t>
      </w:r>
    </w:p>
    <w:p w14:paraId="51A84DB9" w14:textId="77777777" w:rsidR="0035691C" w:rsidRDefault="0035691C" w:rsidP="00777A20">
      <w:pPr>
        <w:spacing w:after="160" w:line="259" w:lineRule="auto"/>
        <w:jc w:val="both"/>
        <w:rPr>
          <w:lang w:val="en-GB"/>
        </w:rPr>
      </w:pPr>
    </w:p>
    <w:p w14:paraId="7CB6920F" w14:textId="792A4F01" w:rsidR="00047453" w:rsidRDefault="0035691C" w:rsidP="00777A20">
      <w:pPr>
        <w:spacing w:after="160" w:line="259" w:lineRule="auto"/>
        <w:jc w:val="both"/>
        <w:rPr>
          <w:lang w:val="en-GB"/>
        </w:rPr>
      </w:pPr>
      <w:r>
        <w:rPr>
          <w:lang w:val="en-GB"/>
        </w:rPr>
        <w:t>In the country reports, The NARs will follow the general rules on citation and the specific points of style of the Common Market Law Review.</w:t>
      </w:r>
      <w:r>
        <w:rPr>
          <w:rStyle w:val="Funotenzeichen"/>
          <w:lang w:val="en-GB"/>
        </w:rPr>
        <w:footnoteReference w:id="3"/>
      </w:r>
      <w:r>
        <w:rPr>
          <w:lang w:val="en-GB"/>
        </w:rPr>
        <w:t xml:space="preserve"> However, by way of derogation from these points of style, paragraphs should be numbered.    </w:t>
      </w:r>
      <w:r w:rsidR="00B73167">
        <w:rPr>
          <w:lang w:val="en-GB"/>
        </w:rPr>
        <w:br w:type="page"/>
      </w:r>
      <w:bookmarkStart w:id="0" w:name="_Hlk143769391"/>
    </w:p>
    <w:p w14:paraId="030E5425" w14:textId="77777777" w:rsidR="00047453" w:rsidRPr="00047453" w:rsidRDefault="00047453" w:rsidP="00777A20">
      <w:pPr>
        <w:spacing w:after="160" w:line="259" w:lineRule="auto"/>
        <w:jc w:val="both"/>
        <w:rPr>
          <w:b/>
          <w:caps/>
          <w:u w:val="single"/>
          <w:lang w:val="en-GB"/>
        </w:rPr>
      </w:pPr>
      <w:r w:rsidRPr="00047453">
        <w:rPr>
          <w:b/>
          <w:caps/>
          <w:u w:val="single"/>
          <w:lang w:val="en-GB"/>
        </w:rPr>
        <w:lastRenderedPageBreak/>
        <w:t xml:space="preserve">MR2.0 </w:t>
      </w:r>
      <w:r w:rsidRPr="00047453">
        <w:rPr>
          <w:b/>
          <w:caps/>
          <w:u w:val="single"/>
          <w:lang w:val="en-GB"/>
        </w:rPr>
        <w:tab/>
        <w:t>Index of Country Report (non annotated)</w:t>
      </w:r>
      <w:r w:rsidRPr="00D932F2">
        <w:rPr>
          <w:rStyle w:val="Funotenzeichen"/>
          <w:b/>
          <w:caps/>
          <w:lang w:val="en-GB"/>
        </w:rPr>
        <w:footnoteReference w:id="4"/>
      </w:r>
    </w:p>
    <w:p w14:paraId="3DA01529" w14:textId="78734AA4" w:rsidR="00CB796C" w:rsidRDefault="00CF2A65">
      <w:pPr>
        <w:pStyle w:val="Verzeichnis1"/>
        <w:tabs>
          <w:tab w:val="left" w:pos="480"/>
          <w:tab w:val="right" w:pos="9016"/>
        </w:tabs>
        <w:rPr>
          <w:rFonts w:asciiTheme="minorHAnsi" w:eastAsiaTheme="minorEastAsia" w:hAnsiTheme="minorHAnsi" w:cstheme="minorBidi"/>
          <w:b w:val="0"/>
          <w:bCs w:val="0"/>
          <w:caps w:val="0"/>
          <w:noProof/>
          <w:sz w:val="22"/>
          <w:szCs w:val="22"/>
          <w:lang w:val="de-DE" w:eastAsia="de-DE"/>
        </w:rPr>
      </w:pPr>
      <w:r w:rsidRPr="00D932F2">
        <w:rPr>
          <w:rFonts w:ascii="Times New Roman" w:hAnsi="Times New Roman" w:cs="Times New Roman"/>
          <w:b w:val="0"/>
          <w:bCs w:val="0"/>
          <w:u w:val="single"/>
          <w:lang w:val="en-GB"/>
        </w:rPr>
        <w:fldChar w:fldCharType="begin"/>
      </w:r>
      <w:r w:rsidRPr="00D932F2">
        <w:rPr>
          <w:rFonts w:ascii="Times New Roman" w:hAnsi="Times New Roman" w:cs="Times New Roman"/>
          <w:b w:val="0"/>
          <w:bCs w:val="0"/>
          <w:u w:val="single"/>
          <w:lang w:val="en-GB"/>
        </w:rPr>
        <w:instrText xml:space="preserve"> TOC \o "1-6" \h \z \u </w:instrText>
      </w:r>
      <w:r w:rsidRPr="00D932F2">
        <w:rPr>
          <w:rFonts w:ascii="Times New Roman" w:hAnsi="Times New Roman" w:cs="Times New Roman"/>
          <w:b w:val="0"/>
          <w:bCs w:val="0"/>
          <w:u w:val="single"/>
          <w:lang w:val="en-GB"/>
        </w:rPr>
        <w:fldChar w:fldCharType="separate"/>
      </w:r>
      <w:hyperlink w:anchor="_Toc170228487" w:history="1">
        <w:r w:rsidR="00CB796C" w:rsidRPr="00474D11">
          <w:rPr>
            <w:rStyle w:val="Hyperlink"/>
            <w:noProof/>
            <w:lang w:val="en-GB"/>
          </w:rPr>
          <w:t>1.</w:t>
        </w:r>
        <w:r w:rsidR="00CB796C">
          <w:rPr>
            <w:rFonts w:asciiTheme="minorHAnsi" w:eastAsiaTheme="minorEastAsia" w:hAnsiTheme="minorHAnsi" w:cstheme="minorBidi"/>
            <w:b w:val="0"/>
            <w:bCs w:val="0"/>
            <w:caps w:val="0"/>
            <w:noProof/>
            <w:sz w:val="22"/>
            <w:szCs w:val="22"/>
            <w:lang w:val="de-DE" w:eastAsia="de-DE"/>
          </w:rPr>
          <w:tab/>
        </w:r>
        <w:r w:rsidR="00CB796C" w:rsidRPr="00474D11">
          <w:rPr>
            <w:rStyle w:val="Hyperlink"/>
            <w:noProof/>
            <w:lang w:val="en-GB"/>
          </w:rPr>
          <w:t>The instruments and national law</w:t>
        </w:r>
        <w:r w:rsidR="00CB796C">
          <w:rPr>
            <w:noProof/>
            <w:webHidden/>
          </w:rPr>
          <w:tab/>
        </w:r>
        <w:r w:rsidR="00CB796C">
          <w:rPr>
            <w:noProof/>
            <w:webHidden/>
          </w:rPr>
          <w:fldChar w:fldCharType="begin"/>
        </w:r>
        <w:r w:rsidR="00CB796C">
          <w:rPr>
            <w:noProof/>
            <w:webHidden/>
          </w:rPr>
          <w:instrText xml:space="preserve"> PAGEREF _Toc170228487 \h </w:instrText>
        </w:r>
        <w:r w:rsidR="00CB796C">
          <w:rPr>
            <w:noProof/>
            <w:webHidden/>
          </w:rPr>
        </w:r>
        <w:r w:rsidR="00CB796C">
          <w:rPr>
            <w:noProof/>
            <w:webHidden/>
          </w:rPr>
          <w:fldChar w:fldCharType="separate"/>
        </w:r>
        <w:r w:rsidR="009034E1">
          <w:rPr>
            <w:noProof/>
            <w:webHidden/>
          </w:rPr>
          <w:t>6</w:t>
        </w:r>
        <w:r w:rsidR="00CB796C">
          <w:rPr>
            <w:noProof/>
            <w:webHidden/>
          </w:rPr>
          <w:fldChar w:fldCharType="end"/>
        </w:r>
      </w:hyperlink>
    </w:p>
    <w:p w14:paraId="415891F2" w14:textId="41E199B2" w:rsidR="00CB796C" w:rsidRDefault="00483C76">
      <w:pPr>
        <w:pStyle w:val="Verzeichnis2"/>
        <w:tabs>
          <w:tab w:val="left" w:pos="720"/>
          <w:tab w:val="right" w:pos="9016"/>
        </w:tabs>
        <w:rPr>
          <w:rFonts w:eastAsiaTheme="minorEastAsia" w:cstheme="minorBidi"/>
          <w:b w:val="0"/>
          <w:bCs w:val="0"/>
          <w:noProof/>
          <w:sz w:val="22"/>
          <w:szCs w:val="22"/>
          <w:lang w:val="de-DE" w:eastAsia="de-DE"/>
        </w:rPr>
      </w:pPr>
      <w:hyperlink w:anchor="_Toc170228488" w:history="1">
        <w:r w:rsidR="00CB796C" w:rsidRPr="00474D11">
          <w:rPr>
            <w:rStyle w:val="Hyperlink"/>
            <w:noProof/>
            <w:lang w:val="en-GB"/>
          </w:rPr>
          <w:t>1.1.</w:t>
        </w:r>
        <w:r w:rsidR="00CB796C">
          <w:rPr>
            <w:rFonts w:eastAsiaTheme="minorEastAsia" w:cstheme="minorBidi"/>
            <w:b w:val="0"/>
            <w:bCs w:val="0"/>
            <w:noProof/>
            <w:sz w:val="22"/>
            <w:szCs w:val="22"/>
            <w:lang w:val="de-DE" w:eastAsia="de-DE"/>
          </w:rPr>
          <w:tab/>
        </w:r>
        <w:r w:rsidR="00CB796C" w:rsidRPr="00474D11">
          <w:rPr>
            <w:rStyle w:val="Hyperlink"/>
            <w:noProof/>
            <w:lang w:val="en-GB"/>
          </w:rPr>
          <w:t>Transposition of EU instruments</w:t>
        </w:r>
        <w:r w:rsidR="00CB796C">
          <w:rPr>
            <w:noProof/>
            <w:webHidden/>
          </w:rPr>
          <w:tab/>
        </w:r>
        <w:r w:rsidR="00CB796C">
          <w:rPr>
            <w:noProof/>
            <w:webHidden/>
          </w:rPr>
          <w:fldChar w:fldCharType="begin"/>
        </w:r>
        <w:r w:rsidR="00CB796C">
          <w:rPr>
            <w:noProof/>
            <w:webHidden/>
          </w:rPr>
          <w:instrText xml:space="preserve"> PAGEREF _Toc170228488 \h </w:instrText>
        </w:r>
        <w:r w:rsidR="00CB796C">
          <w:rPr>
            <w:noProof/>
            <w:webHidden/>
          </w:rPr>
        </w:r>
        <w:r w:rsidR="00CB796C">
          <w:rPr>
            <w:noProof/>
            <w:webHidden/>
          </w:rPr>
          <w:fldChar w:fldCharType="separate"/>
        </w:r>
        <w:r w:rsidR="009034E1">
          <w:rPr>
            <w:noProof/>
            <w:webHidden/>
          </w:rPr>
          <w:t>11</w:t>
        </w:r>
        <w:r w:rsidR="00CB796C">
          <w:rPr>
            <w:noProof/>
            <w:webHidden/>
          </w:rPr>
          <w:fldChar w:fldCharType="end"/>
        </w:r>
      </w:hyperlink>
    </w:p>
    <w:p w14:paraId="7DE3D8C3" w14:textId="45B81290" w:rsidR="00CB796C" w:rsidRDefault="00483C76">
      <w:pPr>
        <w:pStyle w:val="Verzeichnis2"/>
        <w:tabs>
          <w:tab w:val="left" w:pos="720"/>
          <w:tab w:val="right" w:pos="9016"/>
        </w:tabs>
        <w:rPr>
          <w:rFonts w:eastAsiaTheme="minorEastAsia" w:cstheme="minorBidi"/>
          <w:b w:val="0"/>
          <w:bCs w:val="0"/>
          <w:noProof/>
          <w:sz w:val="22"/>
          <w:szCs w:val="22"/>
          <w:lang w:val="de-DE" w:eastAsia="de-DE"/>
        </w:rPr>
      </w:pPr>
      <w:hyperlink w:anchor="_Toc170228489" w:history="1">
        <w:r w:rsidR="00CB796C" w:rsidRPr="00474D11">
          <w:rPr>
            <w:rStyle w:val="Hyperlink"/>
            <w:noProof/>
            <w:lang w:val="en-GB"/>
          </w:rPr>
          <w:t>1.2.</w:t>
        </w:r>
        <w:r w:rsidR="00CB796C">
          <w:rPr>
            <w:rFonts w:eastAsiaTheme="minorEastAsia" w:cstheme="minorBidi"/>
            <w:b w:val="0"/>
            <w:bCs w:val="0"/>
            <w:noProof/>
            <w:sz w:val="22"/>
            <w:szCs w:val="22"/>
            <w:lang w:val="de-DE" w:eastAsia="de-DE"/>
          </w:rPr>
          <w:tab/>
        </w:r>
        <w:r w:rsidR="00CB796C" w:rsidRPr="00474D11">
          <w:rPr>
            <w:rStyle w:val="Hyperlink"/>
            <w:noProof/>
            <w:lang w:val="en-GB"/>
          </w:rPr>
          <w:t>Ratification of conventions</w:t>
        </w:r>
        <w:r w:rsidR="00CB796C">
          <w:rPr>
            <w:noProof/>
            <w:webHidden/>
          </w:rPr>
          <w:tab/>
        </w:r>
        <w:r w:rsidR="00CB796C">
          <w:rPr>
            <w:noProof/>
            <w:webHidden/>
          </w:rPr>
          <w:fldChar w:fldCharType="begin"/>
        </w:r>
        <w:r w:rsidR="00CB796C">
          <w:rPr>
            <w:noProof/>
            <w:webHidden/>
          </w:rPr>
          <w:instrText xml:space="preserve"> PAGEREF _Toc170228489 \h </w:instrText>
        </w:r>
        <w:r w:rsidR="00CB796C">
          <w:rPr>
            <w:noProof/>
            <w:webHidden/>
          </w:rPr>
        </w:r>
        <w:r w:rsidR="00CB796C">
          <w:rPr>
            <w:noProof/>
            <w:webHidden/>
          </w:rPr>
          <w:fldChar w:fldCharType="separate"/>
        </w:r>
        <w:r w:rsidR="009034E1">
          <w:rPr>
            <w:noProof/>
            <w:webHidden/>
          </w:rPr>
          <w:t>15</w:t>
        </w:r>
        <w:r w:rsidR="00CB796C">
          <w:rPr>
            <w:noProof/>
            <w:webHidden/>
          </w:rPr>
          <w:fldChar w:fldCharType="end"/>
        </w:r>
      </w:hyperlink>
    </w:p>
    <w:p w14:paraId="28FFA79A" w14:textId="20F2C1C9" w:rsidR="00CB796C" w:rsidRDefault="00483C76">
      <w:pPr>
        <w:pStyle w:val="Verzeichnis2"/>
        <w:tabs>
          <w:tab w:val="left" w:pos="720"/>
          <w:tab w:val="right" w:pos="9016"/>
        </w:tabs>
        <w:rPr>
          <w:rFonts w:eastAsiaTheme="minorEastAsia" w:cstheme="minorBidi"/>
          <w:b w:val="0"/>
          <w:bCs w:val="0"/>
          <w:noProof/>
          <w:sz w:val="22"/>
          <w:szCs w:val="22"/>
          <w:lang w:val="de-DE" w:eastAsia="de-DE"/>
        </w:rPr>
      </w:pPr>
      <w:hyperlink w:anchor="_Toc170228490" w:history="1">
        <w:r w:rsidR="00CB796C" w:rsidRPr="00474D11">
          <w:rPr>
            <w:rStyle w:val="Hyperlink"/>
            <w:noProof/>
            <w:lang w:val="en-GB"/>
          </w:rPr>
          <w:t>1.3.</w:t>
        </w:r>
        <w:r w:rsidR="00CB796C">
          <w:rPr>
            <w:rFonts w:eastAsiaTheme="minorEastAsia" w:cstheme="minorBidi"/>
            <w:b w:val="0"/>
            <w:bCs w:val="0"/>
            <w:noProof/>
            <w:sz w:val="22"/>
            <w:szCs w:val="22"/>
            <w:lang w:val="de-DE" w:eastAsia="de-DE"/>
          </w:rPr>
          <w:tab/>
        </w:r>
        <w:r w:rsidR="00CB796C" w:rsidRPr="00474D11">
          <w:rPr>
            <w:rStyle w:val="Hyperlink"/>
            <w:noProof/>
            <w:lang w:val="en-GB"/>
          </w:rPr>
          <w:t>Competent (judicial) authorities and central authorities</w:t>
        </w:r>
        <w:r w:rsidR="00CB796C">
          <w:rPr>
            <w:noProof/>
            <w:webHidden/>
          </w:rPr>
          <w:tab/>
        </w:r>
        <w:r w:rsidR="00CB796C">
          <w:rPr>
            <w:noProof/>
            <w:webHidden/>
          </w:rPr>
          <w:fldChar w:fldCharType="begin"/>
        </w:r>
        <w:r w:rsidR="00CB796C">
          <w:rPr>
            <w:noProof/>
            <w:webHidden/>
          </w:rPr>
          <w:instrText xml:space="preserve"> PAGEREF _Toc170228490 \h </w:instrText>
        </w:r>
        <w:r w:rsidR="00CB796C">
          <w:rPr>
            <w:noProof/>
            <w:webHidden/>
          </w:rPr>
        </w:r>
        <w:r w:rsidR="00CB796C">
          <w:rPr>
            <w:noProof/>
            <w:webHidden/>
          </w:rPr>
          <w:fldChar w:fldCharType="separate"/>
        </w:r>
        <w:r w:rsidR="009034E1">
          <w:rPr>
            <w:noProof/>
            <w:webHidden/>
          </w:rPr>
          <w:t>17</w:t>
        </w:r>
        <w:r w:rsidR="00CB796C">
          <w:rPr>
            <w:noProof/>
            <w:webHidden/>
          </w:rPr>
          <w:fldChar w:fldCharType="end"/>
        </w:r>
      </w:hyperlink>
    </w:p>
    <w:p w14:paraId="72CD9509" w14:textId="6DF02A47" w:rsidR="00CB796C" w:rsidRDefault="00483C76">
      <w:pPr>
        <w:pStyle w:val="Verzeichnis3"/>
        <w:tabs>
          <w:tab w:val="left" w:pos="960"/>
          <w:tab w:val="right" w:pos="9016"/>
        </w:tabs>
        <w:rPr>
          <w:rFonts w:eastAsiaTheme="minorEastAsia" w:cstheme="minorBidi"/>
          <w:noProof/>
          <w:sz w:val="22"/>
          <w:szCs w:val="22"/>
          <w:lang w:val="de-DE" w:eastAsia="de-DE"/>
        </w:rPr>
      </w:pPr>
      <w:hyperlink w:anchor="_Toc170228491" w:history="1">
        <w:r w:rsidR="00CB796C" w:rsidRPr="00474D11">
          <w:rPr>
            <w:rStyle w:val="Hyperlink"/>
            <w:noProof/>
            <w:lang w:val="en-GB"/>
          </w:rPr>
          <w:t>1.3.1.</w:t>
        </w:r>
        <w:r w:rsidR="00CB796C">
          <w:rPr>
            <w:rFonts w:eastAsiaTheme="minorEastAsia" w:cstheme="minorBidi"/>
            <w:noProof/>
            <w:sz w:val="22"/>
            <w:szCs w:val="22"/>
            <w:lang w:val="de-DE" w:eastAsia="de-DE"/>
          </w:rPr>
          <w:tab/>
        </w:r>
        <w:r w:rsidR="00CB796C" w:rsidRPr="00474D11">
          <w:rPr>
            <w:rStyle w:val="Hyperlink"/>
            <w:noProof/>
            <w:lang w:val="en-GB"/>
          </w:rPr>
          <w:t>Competent (judicial) authorities</w:t>
        </w:r>
        <w:r w:rsidR="00CB796C">
          <w:rPr>
            <w:noProof/>
            <w:webHidden/>
          </w:rPr>
          <w:tab/>
        </w:r>
        <w:r w:rsidR="00CB796C">
          <w:rPr>
            <w:noProof/>
            <w:webHidden/>
          </w:rPr>
          <w:fldChar w:fldCharType="begin"/>
        </w:r>
        <w:r w:rsidR="00CB796C">
          <w:rPr>
            <w:noProof/>
            <w:webHidden/>
          </w:rPr>
          <w:instrText xml:space="preserve"> PAGEREF _Toc170228491 \h </w:instrText>
        </w:r>
        <w:r w:rsidR="00CB796C">
          <w:rPr>
            <w:noProof/>
            <w:webHidden/>
          </w:rPr>
        </w:r>
        <w:r w:rsidR="00CB796C">
          <w:rPr>
            <w:noProof/>
            <w:webHidden/>
          </w:rPr>
          <w:fldChar w:fldCharType="separate"/>
        </w:r>
        <w:r w:rsidR="009034E1">
          <w:rPr>
            <w:noProof/>
            <w:webHidden/>
          </w:rPr>
          <w:t>17</w:t>
        </w:r>
        <w:r w:rsidR="00CB796C">
          <w:rPr>
            <w:noProof/>
            <w:webHidden/>
          </w:rPr>
          <w:fldChar w:fldCharType="end"/>
        </w:r>
      </w:hyperlink>
    </w:p>
    <w:p w14:paraId="53DB6F28" w14:textId="6791C738" w:rsidR="00CB796C" w:rsidRDefault="00483C76">
      <w:pPr>
        <w:pStyle w:val="Verzeichnis3"/>
        <w:tabs>
          <w:tab w:val="left" w:pos="960"/>
          <w:tab w:val="right" w:pos="9016"/>
        </w:tabs>
        <w:rPr>
          <w:rFonts w:eastAsiaTheme="minorEastAsia" w:cstheme="minorBidi"/>
          <w:noProof/>
          <w:sz w:val="22"/>
          <w:szCs w:val="22"/>
          <w:lang w:val="de-DE" w:eastAsia="de-DE"/>
        </w:rPr>
      </w:pPr>
      <w:hyperlink w:anchor="_Toc170228492" w:history="1">
        <w:r w:rsidR="00CB796C" w:rsidRPr="00474D11">
          <w:rPr>
            <w:rStyle w:val="Hyperlink"/>
            <w:noProof/>
            <w:lang w:val="en-GB"/>
          </w:rPr>
          <w:t>1.3.2.</w:t>
        </w:r>
        <w:r w:rsidR="00CB796C">
          <w:rPr>
            <w:rFonts w:eastAsiaTheme="minorEastAsia" w:cstheme="minorBidi"/>
            <w:noProof/>
            <w:sz w:val="22"/>
            <w:szCs w:val="22"/>
            <w:lang w:val="de-DE" w:eastAsia="de-DE"/>
          </w:rPr>
          <w:tab/>
        </w:r>
        <w:r w:rsidR="00CB796C" w:rsidRPr="00474D11">
          <w:rPr>
            <w:rStyle w:val="Hyperlink"/>
            <w:noProof/>
            <w:lang w:val="en-GB"/>
          </w:rPr>
          <w:t>Central authorities</w:t>
        </w:r>
        <w:r w:rsidR="00CB796C">
          <w:rPr>
            <w:noProof/>
            <w:webHidden/>
          </w:rPr>
          <w:tab/>
        </w:r>
        <w:r w:rsidR="00CB796C">
          <w:rPr>
            <w:noProof/>
            <w:webHidden/>
          </w:rPr>
          <w:fldChar w:fldCharType="begin"/>
        </w:r>
        <w:r w:rsidR="00CB796C">
          <w:rPr>
            <w:noProof/>
            <w:webHidden/>
          </w:rPr>
          <w:instrText xml:space="preserve"> PAGEREF _Toc170228492 \h </w:instrText>
        </w:r>
        <w:r w:rsidR="00CB796C">
          <w:rPr>
            <w:noProof/>
            <w:webHidden/>
          </w:rPr>
        </w:r>
        <w:r w:rsidR="00CB796C">
          <w:rPr>
            <w:noProof/>
            <w:webHidden/>
          </w:rPr>
          <w:fldChar w:fldCharType="separate"/>
        </w:r>
        <w:r w:rsidR="009034E1">
          <w:rPr>
            <w:noProof/>
            <w:webHidden/>
          </w:rPr>
          <w:t>20</w:t>
        </w:r>
        <w:r w:rsidR="00CB796C">
          <w:rPr>
            <w:noProof/>
            <w:webHidden/>
          </w:rPr>
          <w:fldChar w:fldCharType="end"/>
        </w:r>
      </w:hyperlink>
    </w:p>
    <w:p w14:paraId="24443929" w14:textId="39580343" w:rsidR="00CB796C" w:rsidRDefault="00483C76">
      <w:pPr>
        <w:pStyle w:val="Verzeichnis3"/>
        <w:tabs>
          <w:tab w:val="left" w:pos="960"/>
          <w:tab w:val="right" w:pos="9016"/>
        </w:tabs>
        <w:rPr>
          <w:rFonts w:eastAsiaTheme="minorEastAsia" w:cstheme="minorBidi"/>
          <w:noProof/>
          <w:sz w:val="22"/>
          <w:szCs w:val="22"/>
          <w:lang w:val="de-DE" w:eastAsia="de-DE"/>
        </w:rPr>
      </w:pPr>
      <w:hyperlink w:anchor="_Toc170228493" w:history="1">
        <w:r w:rsidR="00CB796C" w:rsidRPr="00474D11">
          <w:rPr>
            <w:rStyle w:val="Hyperlink"/>
            <w:noProof/>
            <w:lang w:val="en-GB"/>
          </w:rPr>
          <w:t>1.3.3.</w:t>
        </w:r>
        <w:r w:rsidR="00CB796C">
          <w:rPr>
            <w:rFonts w:eastAsiaTheme="minorEastAsia" w:cstheme="minorBidi"/>
            <w:noProof/>
            <w:sz w:val="22"/>
            <w:szCs w:val="22"/>
            <w:lang w:val="de-DE" w:eastAsia="de-DE"/>
          </w:rPr>
          <w:tab/>
        </w:r>
        <w:r w:rsidR="00CB796C" w:rsidRPr="00474D11">
          <w:rPr>
            <w:rStyle w:val="Hyperlink"/>
            <w:noProof/>
            <w:lang w:val="en-GB"/>
          </w:rPr>
          <w:t>Coordination</w:t>
        </w:r>
        <w:r w:rsidR="00CB796C">
          <w:rPr>
            <w:noProof/>
            <w:webHidden/>
          </w:rPr>
          <w:tab/>
        </w:r>
        <w:r w:rsidR="00CB796C">
          <w:rPr>
            <w:noProof/>
            <w:webHidden/>
          </w:rPr>
          <w:fldChar w:fldCharType="begin"/>
        </w:r>
        <w:r w:rsidR="00CB796C">
          <w:rPr>
            <w:noProof/>
            <w:webHidden/>
          </w:rPr>
          <w:instrText xml:space="preserve"> PAGEREF _Toc170228493 \h </w:instrText>
        </w:r>
        <w:r w:rsidR="00CB796C">
          <w:rPr>
            <w:noProof/>
            <w:webHidden/>
          </w:rPr>
        </w:r>
        <w:r w:rsidR="00CB796C">
          <w:rPr>
            <w:noProof/>
            <w:webHidden/>
          </w:rPr>
          <w:fldChar w:fldCharType="separate"/>
        </w:r>
        <w:r w:rsidR="009034E1">
          <w:rPr>
            <w:noProof/>
            <w:webHidden/>
          </w:rPr>
          <w:t>21</w:t>
        </w:r>
        <w:r w:rsidR="00CB796C">
          <w:rPr>
            <w:noProof/>
            <w:webHidden/>
          </w:rPr>
          <w:fldChar w:fldCharType="end"/>
        </w:r>
      </w:hyperlink>
    </w:p>
    <w:p w14:paraId="68519563" w14:textId="43A13246" w:rsidR="00CB796C" w:rsidRDefault="00483C76">
      <w:pPr>
        <w:pStyle w:val="Verzeichnis1"/>
        <w:tabs>
          <w:tab w:val="left" w:pos="480"/>
          <w:tab w:val="right" w:pos="9016"/>
        </w:tabs>
        <w:rPr>
          <w:rFonts w:asciiTheme="minorHAnsi" w:eastAsiaTheme="minorEastAsia" w:hAnsiTheme="minorHAnsi" w:cstheme="minorBidi"/>
          <w:b w:val="0"/>
          <w:bCs w:val="0"/>
          <w:caps w:val="0"/>
          <w:noProof/>
          <w:sz w:val="22"/>
          <w:szCs w:val="22"/>
          <w:lang w:val="de-DE" w:eastAsia="de-DE"/>
        </w:rPr>
      </w:pPr>
      <w:hyperlink w:anchor="_Toc170228494" w:history="1">
        <w:r w:rsidR="00CB796C" w:rsidRPr="00474D11">
          <w:rPr>
            <w:rStyle w:val="Hyperlink"/>
            <w:noProof/>
            <w:lang w:val="en-GB"/>
          </w:rPr>
          <w:t>2.</w:t>
        </w:r>
        <w:r w:rsidR="00CB796C">
          <w:rPr>
            <w:rFonts w:asciiTheme="minorHAnsi" w:eastAsiaTheme="minorEastAsia" w:hAnsiTheme="minorHAnsi" w:cstheme="minorBidi"/>
            <w:b w:val="0"/>
            <w:bCs w:val="0"/>
            <w:caps w:val="0"/>
            <w:noProof/>
            <w:sz w:val="22"/>
            <w:szCs w:val="22"/>
            <w:lang w:val="de-DE" w:eastAsia="de-DE"/>
          </w:rPr>
          <w:tab/>
        </w:r>
        <w:r w:rsidR="00CB796C" w:rsidRPr="00474D11">
          <w:rPr>
            <w:rStyle w:val="Hyperlink"/>
            <w:noProof/>
            <w:lang w:val="en-GB"/>
          </w:rPr>
          <w:t>The instruments and investigation/prosecution</w:t>
        </w:r>
        <w:r w:rsidR="00CB796C">
          <w:rPr>
            <w:noProof/>
            <w:webHidden/>
          </w:rPr>
          <w:tab/>
        </w:r>
        <w:r w:rsidR="00CB796C">
          <w:rPr>
            <w:noProof/>
            <w:webHidden/>
          </w:rPr>
          <w:fldChar w:fldCharType="begin"/>
        </w:r>
        <w:r w:rsidR="00CB796C">
          <w:rPr>
            <w:noProof/>
            <w:webHidden/>
          </w:rPr>
          <w:instrText xml:space="preserve"> PAGEREF _Toc170228494 \h </w:instrText>
        </w:r>
        <w:r w:rsidR="00CB796C">
          <w:rPr>
            <w:noProof/>
            <w:webHidden/>
          </w:rPr>
        </w:r>
        <w:r w:rsidR="00CB796C">
          <w:rPr>
            <w:noProof/>
            <w:webHidden/>
          </w:rPr>
          <w:fldChar w:fldCharType="separate"/>
        </w:r>
        <w:r w:rsidR="009034E1">
          <w:rPr>
            <w:noProof/>
            <w:webHidden/>
          </w:rPr>
          <w:t>22</w:t>
        </w:r>
        <w:r w:rsidR="00CB796C">
          <w:rPr>
            <w:noProof/>
            <w:webHidden/>
          </w:rPr>
          <w:fldChar w:fldCharType="end"/>
        </w:r>
      </w:hyperlink>
    </w:p>
    <w:p w14:paraId="1CDCD959" w14:textId="1A127BE0" w:rsidR="00CB796C" w:rsidRDefault="00483C76">
      <w:pPr>
        <w:pStyle w:val="Verzeichnis2"/>
        <w:tabs>
          <w:tab w:val="left" w:pos="720"/>
          <w:tab w:val="right" w:pos="9016"/>
        </w:tabs>
        <w:rPr>
          <w:rFonts w:eastAsiaTheme="minorEastAsia" w:cstheme="minorBidi"/>
          <w:b w:val="0"/>
          <w:bCs w:val="0"/>
          <w:noProof/>
          <w:sz w:val="22"/>
          <w:szCs w:val="22"/>
          <w:lang w:val="de-DE" w:eastAsia="de-DE"/>
        </w:rPr>
      </w:pPr>
      <w:hyperlink w:anchor="_Toc170228495" w:history="1">
        <w:r w:rsidR="00CB796C" w:rsidRPr="00474D11">
          <w:rPr>
            <w:rStyle w:val="Hyperlink"/>
            <w:noProof/>
            <w:lang w:val="en-GB"/>
          </w:rPr>
          <w:t>2.1.</w:t>
        </w:r>
        <w:r w:rsidR="00CB796C">
          <w:rPr>
            <w:rFonts w:eastAsiaTheme="minorEastAsia" w:cstheme="minorBidi"/>
            <w:b w:val="0"/>
            <w:bCs w:val="0"/>
            <w:noProof/>
            <w:sz w:val="22"/>
            <w:szCs w:val="22"/>
            <w:lang w:val="de-DE" w:eastAsia="de-DE"/>
          </w:rPr>
          <w:tab/>
        </w:r>
        <w:r w:rsidR="00CB796C" w:rsidRPr="00474D11">
          <w:rPr>
            <w:rStyle w:val="Hyperlink"/>
            <w:noProof/>
            <w:lang w:val="en-GB"/>
          </w:rPr>
          <w:t>Applicability of the instruments according to EU law</w:t>
        </w:r>
        <w:r w:rsidR="00CB796C">
          <w:rPr>
            <w:noProof/>
            <w:webHidden/>
          </w:rPr>
          <w:tab/>
        </w:r>
        <w:r w:rsidR="00CB796C">
          <w:rPr>
            <w:noProof/>
            <w:webHidden/>
          </w:rPr>
          <w:fldChar w:fldCharType="begin"/>
        </w:r>
        <w:r w:rsidR="00CB796C">
          <w:rPr>
            <w:noProof/>
            <w:webHidden/>
          </w:rPr>
          <w:instrText xml:space="preserve"> PAGEREF _Toc170228495 \h </w:instrText>
        </w:r>
        <w:r w:rsidR="00CB796C">
          <w:rPr>
            <w:noProof/>
            <w:webHidden/>
          </w:rPr>
        </w:r>
        <w:r w:rsidR="00CB796C">
          <w:rPr>
            <w:noProof/>
            <w:webHidden/>
          </w:rPr>
          <w:fldChar w:fldCharType="separate"/>
        </w:r>
        <w:r w:rsidR="009034E1">
          <w:rPr>
            <w:noProof/>
            <w:webHidden/>
          </w:rPr>
          <w:t>23</w:t>
        </w:r>
        <w:r w:rsidR="00CB796C">
          <w:rPr>
            <w:noProof/>
            <w:webHidden/>
          </w:rPr>
          <w:fldChar w:fldCharType="end"/>
        </w:r>
      </w:hyperlink>
    </w:p>
    <w:p w14:paraId="5F8AF1C3" w14:textId="52270F0D" w:rsidR="00CB796C" w:rsidRDefault="00483C76">
      <w:pPr>
        <w:pStyle w:val="Verzeichnis3"/>
        <w:tabs>
          <w:tab w:val="left" w:pos="960"/>
          <w:tab w:val="right" w:pos="9016"/>
        </w:tabs>
        <w:rPr>
          <w:rFonts w:eastAsiaTheme="minorEastAsia" w:cstheme="minorBidi"/>
          <w:noProof/>
          <w:sz w:val="22"/>
          <w:szCs w:val="22"/>
          <w:lang w:val="de-DE" w:eastAsia="de-DE"/>
        </w:rPr>
      </w:pPr>
      <w:hyperlink w:anchor="_Toc170228496" w:history="1">
        <w:r w:rsidR="00CB796C" w:rsidRPr="00474D11">
          <w:rPr>
            <w:rStyle w:val="Hyperlink"/>
            <w:noProof/>
            <w:lang w:val="en-GB"/>
          </w:rPr>
          <w:t>2.1.1.</w:t>
        </w:r>
        <w:r w:rsidR="00CB796C">
          <w:rPr>
            <w:rFonts w:eastAsiaTheme="minorEastAsia" w:cstheme="minorBidi"/>
            <w:noProof/>
            <w:sz w:val="22"/>
            <w:szCs w:val="22"/>
            <w:lang w:val="de-DE" w:eastAsia="de-DE"/>
          </w:rPr>
          <w:tab/>
        </w:r>
        <w:r w:rsidR="00CB796C" w:rsidRPr="00474D11">
          <w:rPr>
            <w:rStyle w:val="Hyperlink"/>
            <w:noProof/>
            <w:lang w:val="en-GB"/>
          </w:rPr>
          <w:t>Pre-trial stage</w:t>
        </w:r>
        <w:r w:rsidR="00CB796C">
          <w:rPr>
            <w:noProof/>
            <w:webHidden/>
          </w:rPr>
          <w:tab/>
        </w:r>
        <w:r w:rsidR="00CB796C">
          <w:rPr>
            <w:noProof/>
            <w:webHidden/>
          </w:rPr>
          <w:fldChar w:fldCharType="begin"/>
        </w:r>
        <w:r w:rsidR="00CB796C">
          <w:rPr>
            <w:noProof/>
            <w:webHidden/>
          </w:rPr>
          <w:instrText xml:space="preserve"> PAGEREF _Toc170228496 \h </w:instrText>
        </w:r>
        <w:r w:rsidR="00CB796C">
          <w:rPr>
            <w:noProof/>
            <w:webHidden/>
          </w:rPr>
        </w:r>
        <w:r w:rsidR="00CB796C">
          <w:rPr>
            <w:noProof/>
            <w:webHidden/>
          </w:rPr>
          <w:fldChar w:fldCharType="separate"/>
        </w:r>
        <w:r w:rsidR="009034E1">
          <w:rPr>
            <w:noProof/>
            <w:webHidden/>
          </w:rPr>
          <w:t>24</w:t>
        </w:r>
        <w:r w:rsidR="00CB796C">
          <w:rPr>
            <w:noProof/>
            <w:webHidden/>
          </w:rPr>
          <w:fldChar w:fldCharType="end"/>
        </w:r>
      </w:hyperlink>
    </w:p>
    <w:p w14:paraId="7069BC26" w14:textId="3F7934EC" w:rsidR="00CB796C" w:rsidRDefault="00483C76">
      <w:pPr>
        <w:pStyle w:val="Verzeichnis4"/>
        <w:tabs>
          <w:tab w:val="left" w:pos="1440"/>
          <w:tab w:val="right" w:pos="9016"/>
        </w:tabs>
        <w:rPr>
          <w:rFonts w:eastAsiaTheme="minorEastAsia" w:cstheme="minorBidi"/>
          <w:noProof/>
          <w:sz w:val="22"/>
          <w:szCs w:val="22"/>
          <w:lang w:val="de-DE" w:eastAsia="de-DE"/>
        </w:rPr>
      </w:pPr>
      <w:hyperlink w:anchor="_Toc170228497" w:history="1">
        <w:r w:rsidR="00CB796C" w:rsidRPr="00474D11">
          <w:rPr>
            <w:rStyle w:val="Hyperlink"/>
            <w:noProof/>
            <w:lang w:val="en-GB"/>
          </w:rPr>
          <w:t>2.1.1.1.</w:t>
        </w:r>
        <w:r w:rsidR="00CB796C">
          <w:rPr>
            <w:rFonts w:eastAsiaTheme="minorEastAsia" w:cstheme="minorBidi"/>
            <w:noProof/>
            <w:sz w:val="22"/>
            <w:szCs w:val="22"/>
            <w:lang w:val="de-DE" w:eastAsia="de-DE"/>
          </w:rPr>
          <w:tab/>
        </w:r>
        <w:r w:rsidR="00CB796C" w:rsidRPr="00474D11">
          <w:rPr>
            <w:rStyle w:val="Hyperlink"/>
            <w:noProof/>
            <w:lang w:val="en-GB"/>
          </w:rPr>
          <w:t xml:space="preserve">Substage 1 (no </w:t>
        </w:r>
        <w:r w:rsidR="00CB796C" w:rsidRPr="00474D11">
          <w:rPr>
            <w:rStyle w:val="Hyperlink"/>
            <w:noProof/>
            <w:lang w:val="en-US"/>
          </w:rPr>
          <w:t>detention</w:t>
        </w:r>
        <w:r w:rsidR="00CB796C" w:rsidRPr="00474D11">
          <w:rPr>
            <w:rStyle w:val="Hyperlink"/>
            <w:noProof/>
            <w:lang w:val="en-GB"/>
          </w:rPr>
          <w:t xml:space="preserve"> on remand possible)</w:t>
        </w:r>
        <w:r w:rsidR="00CB796C">
          <w:rPr>
            <w:noProof/>
            <w:webHidden/>
          </w:rPr>
          <w:tab/>
        </w:r>
        <w:r w:rsidR="00CB796C">
          <w:rPr>
            <w:noProof/>
            <w:webHidden/>
          </w:rPr>
          <w:fldChar w:fldCharType="begin"/>
        </w:r>
        <w:r w:rsidR="00CB796C">
          <w:rPr>
            <w:noProof/>
            <w:webHidden/>
          </w:rPr>
          <w:instrText xml:space="preserve"> PAGEREF _Toc170228497 \h </w:instrText>
        </w:r>
        <w:r w:rsidR="00CB796C">
          <w:rPr>
            <w:noProof/>
            <w:webHidden/>
          </w:rPr>
        </w:r>
        <w:r w:rsidR="00CB796C">
          <w:rPr>
            <w:noProof/>
            <w:webHidden/>
          </w:rPr>
          <w:fldChar w:fldCharType="separate"/>
        </w:r>
        <w:r w:rsidR="009034E1">
          <w:rPr>
            <w:noProof/>
            <w:webHidden/>
          </w:rPr>
          <w:t>24</w:t>
        </w:r>
        <w:r w:rsidR="00CB796C">
          <w:rPr>
            <w:noProof/>
            <w:webHidden/>
          </w:rPr>
          <w:fldChar w:fldCharType="end"/>
        </w:r>
      </w:hyperlink>
    </w:p>
    <w:p w14:paraId="2363F6BE" w14:textId="27F01B5A" w:rsidR="00CB796C" w:rsidRDefault="00483C76">
      <w:pPr>
        <w:pStyle w:val="Verzeichnis5"/>
        <w:tabs>
          <w:tab w:val="left" w:pos="1200"/>
          <w:tab w:val="right" w:pos="9016"/>
        </w:tabs>
        <w:rPr>
          <w:rFonts w:eastAsiaTheme="minorEastAsia" w:cstheme="minorBidi"/>
          <w:noProof/>
          <w:sz w:val="22"/>
          <w:szCs w:val="22"/>
          <w:lang w:val="de-DE" w:eastAsia="de-DE"/>
        </w:rPr>
      </w:pPr>
      <w:hyperlink w:anchor="_Toc170228498" w:history="1">
        <w:r w:rsidR="00CB796C" w:rsidRPr="00474D11">
          <w:rPr>
            <w:rStyle w:val="Hyperlink"/>
            <w:noProof/>
            <w:lang w:val="en-GB"/>
          </w:rPr>
          <w:t>(a)</w:t>
        </w:r>
        <w:r w:rsidR="00CB796C">
          <w:rPr>
            <w:rFonts w:eastAsiaTheme="minorEastAsia" w:cstheme="minorBidi"/>
            <w:noProof/>
            <w:sz w:val="22"/>
            <w:szCs w:val="22"/>
            <w:lang w:val="de-DE" w:eastAsia="de-DE"/>
          </w:rPr>
          <w:tab/>
        </w:r>
        <w:r w:rsidR="00CB796C" w:rsidRPr="00474D11">
          <w:rPr>
            <w:rStyle w:val="Hyperlink"/>
            <w:noProof/>
            <w:lang w:val="en-GB"/>
          </w:rPr>
          <w:t>Person concerned present in issuing MS</w:t>
        </w:r>
        <w:r w:rsidR="00CB796C">
          <w:rPr>
            <w:noProof/>
            <w:webHidden/>
          </w:rPr>
          <w:tab/>
        </w:r>
        <w:r w:rsidR="00CB796C">
          <w:rPr>
            <w:noProof/>
            <w:webHidden/>
          </w:rPr>
          <w:fldChar w:fldCharType="begin"/>
        </w:r>
        <w:r w:rsidR="00CB796C">
          <w:rPr>
            <w:noProof/>
            <w:webHidden/>
          </w:rPr>
          <w:instrText xml:space="preserve"> PAGEREF _Toc170228498 \h </w:instrText>
        </w:r>
        <w:r w:rsidR="00CB796C">
          <w:rPr>
            <w:noProof/>
            <w:webHidden/>
          </w:rPr>
        </w:r>
        <w:r w:rsidR="00CB796C">
          <w:rPr>
            <w:noProof/>
            <w:webHidden/>
          </w:rPr>
          <w:fldChar w:fldCharType="separate"/>
        </w:r>
        <w:r w:rsidR="009034E1">
          <w:rPr>
            <w:noProof/>
            <w:webHidden/>
          </w:rPr>
          <w:t>24</w:t>
        </w:r>
        <w:r w:rsidR="00CB796C">
          <w:rPr>
            <w:noProof/>
            <w:webHidden/>
          </w:rPr>
          <w:fldChar w:fldCharType="end"/>
        </w:r>
      </w:hyperlink>
    </w:p>
    <w:p w14:paraId="4CFD9118" w14:textId="41560876" w:rsidR="00CB796C" w:rsidRDefault="00483C76">
      <w:pPr>
        <w:pStyle w:val="Verzeichnis5"/>
        <w:tabs>
          <w:tab w:val="left" w:pos="1200"/>
          <w:tab w:val="right" w:pos="9016"/>
        </w:tabs>
        <w:rPr>
          <w:rFonts w:eastAsiaTheme="minorEastAsia" w:cstheme="minorBidi"/>
          <w:noProof/>
          <w:sz w:val="22"/>
          <w:szCs w:val="22"/>
          <w:lang w:val="de-DE" w:eastAsia="de-DE"/>
        </w:rPr>
      </w:pPr>
      <w:hyperlink w:anchor="_Toc170228499" w:history="1">
        <w:r w:rsidR="00CB796C" w:rsidRPr="00474D11">
          <w:rPr>
            <w:rStyle w:val="Hyperlink"/>
            <w:noProof/>
            <w:lang w:val="en-GB"/>
          </w:rPr>
          <w:t>(b)</w:t>
        </w:r>
        <w:r w:rsidR="00CB796C">
          <w:rPr>
            <w:rFonts w:eastAsiaTheme="minorEastAsia" w:cstheme="minorBidi"/>
            <w:noProof/>
            <w:sz w:val="22"/>
            <w:szCs w:val="22"/>
            <w:lang w:val="de-DE" w:eastAsia="de-DE"/>
          </w:rPr>
          <w:tab/>
        </w:r>
        <w:r w:rsidR="00CB796C" w:rsidRPr="00474D11">
          <w:rPr>
            <w:rStyle w:val="Hyperlink"/>
            <w:noProof/>
            <w:lang w:val="en-GB"/>
          </w:rPr>
          <w:t>Person concerned present in another MS</w:t>
        </w:r>
        <w:r w:rsidR="00CB796C">
          <w:rPr>
            <w:noProof/>
            <w:webHidden/>
          </w:rPr>
          <w:tab/>
        </w:r>
        <w:r w:rsidR="00CB796C">
          <w:rPr>
            <w:noProof/>
            <w:webHidden/>
          </w:rPr>
          <w:fldChar w:fldCharType="begin"/>
        </w:r>
        <w:r w:rsidR="00CB796C">
          <w:rPr>
            <w:noProof/>
            <w:webHidden/>
          </w:rPr>
          <w:instrText xml:space="preserve"> PAGEREF _Toc170228499 \h </w:instrText>
        </w:r>
        <w:r w:rsidR="00CB796C">
          <w:rPr>
            <w:noProof/>
            <w:webHidden/>
          </w:rPr>
        </w:r>
        <w:r w:rsidR="00CB796C">
          <w:rPr>
            <w:noProof/>
            <w:webHidden/>
          </w:rPr>
          <w:fldChar w:fldCharType="separate"/>
        </w:r>
        <w:r w:rsidR="009034E1">
          <w:rPr>
            <w:noProof/>
            <w:webHidden/>
          </w:rPr>
          <w:t>24</w:t>
        </w:r>
        <w:r w:rsidR="00CB796C">
          <w:rPr>
            <w:noProof/>
            <w:webHidden/>
          </w:rPr>
          <w:fldChar w:fldCharType="end"/>
        </w:r>
      </w:hyperlink>
    </w:p>
    <w:p w14:paraId="36B416CB" w14:textId="1C8F7C9F" w:rsidR="00CB796C" w:rsidRDefault="00483C76">
      <w:pPr>
        <w:pStyle w:val="Verzeichnis4"/>
        <w:tabs>
          <w:tab w:val="left" w:pos="1440"/>
          <w:tab w:val="right" w:pos="9016"/>
        </w:tabs>
        <w:rPr>
          <w:rFonts w:eastAsiaTheme="minorEastAsia" w:cstheme="minorBidi"/>
          <w:noProof/>
          <w:sz w:val="22"/>
          <w:szCs w:val="22"/>
          <w:lang w:val="de-DE" w:eastAsia="de-DE"/>
        </w:rPr>
      </w:pPr>
      <w:hyperlink w:anchor="_Toc170228500" w:history="1">
        <w:r w:rsidR="00CB796C" w:rsidRPr="00474D11">
          <w:rPr>
            <w:rStyle w:val="Hyperlink"/>
            <w:noProof/>
            <w:lang w:val="en-GB"/>
          </w:rPr>
          <w:t>2.1.1.2.</w:t>
        </w:r>
        <w:r w:rsidR="00CB796C">
          <w:rPr>
            <w:rFonts w:eastAsiaTheme="minorEastAsia" w:cstheme="minorBidi"/>
            <w:noProof/>
            <w:sz w:val="22"/>
            <w:szCs w:val="22"/>
            <w:lang w:val="de-DE" w:eastAsia="de-DE"/>
          </w:rPr>
          <w:tab/>
        </w:r>
        <w:r w:rsidR="00CB796C" w:rsidRPr="00474D11">
          <w:rPr>
            <w:rStyle w:val="Hyperlink"/>
            <w:noProof/>
            <w:lang w:val="en-GB"/>
          </w:rPr>
          <w:t>Substage 2 (detention on remand possible)</w:t>
        </w:r>
        <w:r w:rsidR="00CB796C">
          <w:rPr>
            <w:noProof/>
            <w:webHidden/>
          </w:rPr>
          <w:tab/>
        </w:r>
        <w:r w:rsidR="00CB796C">
          <w:rPr>
            <w:noProof/>
            <w:webHidden/>
          </w:rPr>
          <w:fldChar w:fldCharType="begin"/>
        </w:r>
        <w:r w:rsidR="00CB796C">
          <w:rPr>
            <w:noProof/>
            <w:webHidden/>
          </w:rPr>
          <w:instrText xml:space="preserve"> PAGEREF _Toc170228500 \h </w:instrText>
        </w:r>
        <w:r w:rsidR="00CB796C">
          <w:rPr>
            <w:noProof/>
            <w:webHidden/>
          </w:rPr>
        </w:r>
        <w:r w:rsidR="00CB796C">
          <w:rPr>
            <w:noProof/>
            <w:webHidden/>
          </w:rPr>
          <w:fldChar w:fldCharType="separate"/>
        </w:r>
        <w:r w:rsidR="009034E1">
          <w:rPr>
            <w:noProof/>
            <w:webHidden/>
          </w:rPr>
          <w:t>26</w:t>
        </w:r>
        <w:r w:rsidR="00CB796C">
          <w:rPr>
            <w:noProof/>
            <w:webHidden/>
          </w:rPr>
          <w:fldChar w:fldCharType="end"/>
        </w:r>
      </w:hyperlink>
    </w:p>
    <w:p w14:paraId="35DB31C1" w14:textId="47ACACDD" w:rsidR="00CB796C" w:rsidRDefault="00483C76">
      <w:pPr>
        <w:pStyle w:val="Verzeichnis5"/>
        <w:tabs>
          <w:tab w:val="left" w:pos="1200"/>
          <w:tab w:val="right" w:pos="9016"/>
        </w:tabs>
        <w:rPr>
          <w:rFonts w:eastAsiaTheme="minorEastAsia" w:cstheme="minorBidi"/>
          <w:noProof/>
          <w:sz w:val="22"/>
          <w:szCs w:val="22"/>
          <w:lang w:val="de-DE" w:eastAsia="de-DE"/>
        </w:rPr>
      </w:pPr>
      <w:hyperlink w:anchor="_Toc170228501" w:history="1">
        <w:r w:rsidR="00CB796C" w:rsidRPr="00474D11">
          <w:rPr>
            <w:rStyle w:val="Hyperlink"/>
            <w:noProof/>
            <w:lang w:val="en-GB"/>
          </w:rPr>
          <w:t>(a)</w:t>
        </w:r>
        <w:r w:rsidR="00CB796C">
          <w:rPr>
            <w:rFonts w:eastAsiaTheme="minorEastAsia" w:cstheme="minorBidi"/>
            <w:noProof/>
            <w:sz w:val="22"/>
            <w:szCs w:val="22"/>
            <w:lang w:val="de-DE" w:eastAsia="de-DE"/>
          </w:rPr>
          <w:tab/>
        </w:r>
        <w:r w:rsidR="00CB796C" w:rsidRPr="00474D11">
          <w:rPr>
            <w:rStyle w:val="Hyperlink"/>
            <w:noProof/>
            <w:lang w:val="en-GB"/>
          </w:rPr>
          <w:t>Person concerned present in issuing MS</w:t>
        </w:r>
        <w:r w:rsidR="00CB796C">
          <w:rPr>
            <w:noProof/>
            <w:webHidden/>
          </w:rPr>
          <w:tab/>
        </w:r>
        <w:r w:rsidR="00CB796C">
          <w:rPr>
            <w:noProof/>
            <w:webHidden/>
          </w:rPr>
          <w:fldChar w:fldCharType="begin"/>
        </w:r>
        <w:r w:rsidR="00CB796C">
          <w:rPr>
            <w:noProof/>
            <w:webHidden/>
          </w:rPr>
          <w:instrText xml:space="preserve"> PAGEREF _Toc170228501 \h </w:instrText>
        </w:r>
        <w:r w:rsidR="00CB796C">
          <w:rPr>
            <w:noProof/>
            <w:webHidden/>
          </w:rPr>
        </w:r>
        <w:r w:rsidR="00CB796C">
          <w:rPr>
            <w:noProof/>
            <w:webHidden/>
          </w:rPr>
          <w:fldChar w:fldCharType="separate"/>
        </w:r>
        <w:r w:rsidR="009034E1">
          <w:rPr>
            <w:noProof/>
            <w:webHidden/>
          </w:rPr>
          <w:t>26</w:t>
        </w:r>
        <w:r w:rsidR="00CB796C">
          <w:rPr>
            <w:noProof/>
            <w:webHidden/>
          </w:rPr>
          <w:fldChar w:fldCharType="end"/>
        </w:r>
      </w:hyperlink>
    </w:p>
    <w:p w14:paraId="351081F2" w14:textId="4670709A" w:rsidR="00CB796C" w:rsidRDefault="00483C76">
      <w:pPr>
        <w:pStyle w:val="Verzeichnis6"/>
        <w:tabs>
          <w:tab w:val="left" w:pos="1440"/>
          <w:tab w:val="right" w:pos="9016"/>
        </w:tabs>
        <w:rPr>
          <w:rFonts w:eastAsiaTheme="minorEastAsia" w:cstheme="minorBidi"/>
          <w:noProof/>
          <w:sz w:val="22"/>
          <w:szCs w:val="22"/>
          <w:lang w:val="de-DE" w:eastAsia="de-DE"/>
        </w:rPr>
      </w:pPr>
      <w:hyperlink w:anchor="_Toc170228502" w:history="1">
        <w:r w:rsidR="00CB796C" w:rsidRPr="00474D11">
          <w:rPr>
            <w:rStyle w:val="Hyperlink"/>
            <w:noProof/>
            <w:lang w:val="en-GB"/>
          </w:rPr>
          <w:t>(i)</w:t>
        </w:r>
        <w:r w:rsidR="00CB796C">
          <w:rPr>
            <w:rFonts w:eastAsiaTheme="minorEastAsia" w:cstheme="minorBidi"/>
            <w:noProof/>
            <w:sz w:val="22"/>
            <w:szCs w:val="22"/>
            <w:lang w:val="de-DE" w:eastAsia="de-DE"/>
          </w:rPr>
          <w:tab/>
        </w:r>
        <w:r w:rsidR="00CB796C" w:rsidRPr="00474D11">
          <w:rPr>
            <w:rStyle w:val="Hyperlink"/>
            <w:noProof/>
            <w:lang w:val="en-GB"/>
          </w:rPr>
          <w:t>detention on remand possible but not ordered</w:t>
        </w:r>
        <w:r w:rsidR="00CB796C">
          <w:rPr>
            <w:noProof/>
            <w:webHidden/>
          </w:rPr>
          <w:tab/>
        </w:r>
        <w:r w:rsidR="00CB796C">
          <w:rPr>
            <w:noProof/>
            <w:webHidden/>
          </w:rPr>
          <w:fldChar w:fldCharType="begin"/>
        </w:r>
        <w:r w:rsidR="00CB796C">
          <w:rPr>
            <w:noProof/>
            <w:webHidden/>
          </w:rPr>
          <w:instrText xml:space="preserve"> PAGEREF _Toc170228502 \h </w:instrText>
        </w:r>
        <w:r w:rsidR="00CB796C">
          <w:rPr>
            <w:noProof/>
            <w:webHidden/>
          </w:rPr>
        </w:r>
        <w:r w:rsidR="00CB796C">
          <w:rPr>
            <w:noProof/>
            <w:webHidden/>
          </w:rPr>
          <w:fldChar w:fldCharType="separate"/>
        </w:r>
        <w:r w:rsidR="009034E1">
          <w:rPr>
            <w:noProof/>
            <w:webHidden/>
          </w:rPr>
          <w:t>26</w:t>
        </w:r>
        <w:r w:rsidR="00CB796C">
          <w:rPr>
            <w:noProof/>
            <w:webHidden/>
          </w:rPr>
          <w:fldChar w:fldCharType="end"/>
        </w:r>
      </w:hyperlink>
    </w:p>
    <w:p w14:paraId="5555E9AB" w14:textId="629CA760" w:rsidR="00CB796C" w:rsidRDefault="00483C76">
      <w:pPr>
        <w:pStyle w:val="Verzeichnis6"/>
        <w:tabs>
          <w:tab w:val="left" w:pos="1440"/>
          <w:tab w:val="right" w:pos="9016"/>
        </w:tabs>
        <w:rPr>
          <w:rFonts w:eastAsiaTheme="minorEastAsia" w:cstheme="minorBidi"/>
          <w:noProof/>
          <w:sz w:val="22"/>
          <w:szCs w:val="22"/>
          <w:lang w:val="de-DE" w:eastAsia="de-DE"/>
        </w:rPr>
      </w:pPr>
      <w:hyperlink w:anchor="_Toc170228503" w:history="1">
        <w:r w:rsidR="00CB796C" w:rsidRPr="00474D11">
          <w:rPr>
            <w:rStyle w:val="Hyperlink"/>
            <w:noProof/>
            <w:lang w:val="en-GB"/>
          </w:rPr>
          <w:t>(ii)</w:t>
        </w:r>
        <w:r w:rsidR="00CB796C">
          <w:rPr>
            <w:rFonts w:eastAsiaTheme="minorEastAsia" w:cstheme="minorBidi"/>
            <w:noProof/>
            <w:sz w:val="22"/>
            <w:szCs w:val="22"/>
            <w:lang w:val="de-DE" w:eastAsia="de-DE"/>
          </w:rPr>
          <w:tab/>
        </w:r>
        <w:r w:rsidR="00CB796C" w:rsidRPr="00474D11">
          <w:rPr>
            <w:rStyle w:val="Hyperlink"/>
            <w:noProof/>
            <w:lang w:val="en-GB"/>
          </w:rPr>
          <w:t>person in detention on remand</w:t>
        </w:r>
        <w:r w:rsidR="00CB796C">
          <w:rPr>
            <w:noProof/>
            <w:webHidden/>
          </w:rPr>
          <w:tab/>
        </w:r>
        <w:r w:rsidR="00CB796C">
          <w:rPr>
            <w:noProof/>
            <w:webHidden/>
          </w:rPr>
          <w:fldChar w:fldCharType="begin"/>
        </w:r>
        <w:r w:rsidR="00CB796C">
          <w:rPr>
            <w:noProof/>
            <w:webHidden/>
          </w:rPr>
          <w:instrText xml:space="preserve"> PAGEREF _Toc170228503 \h </w:instrText>
        </w:r>
        <w:r w:rsidR="00CB796C">
          <w:rPr>
            <w:noProof/>
            <w:webHidden/>
          </w:rPr>
        </w:r>
        <w:r w:rsidR="00CB796C">
          <w:rPr>
            <w:noProof/>
            <w:webHidden/>
          </w:rPr>
          <w:fldChar w:fldCharType="separate"/>
        </w:r>
        <w:r w:rsidR="009034E1">
          <w:rPr>
            <w:noProof/>
            <w:webHidden/>
          </w:rPr>
          <w:t>27</w:t>
        </w:r>
        <w:r w:rsidR="00CB796C">
          <w:rPr>
            <w:noProof/>
            <w:webHidden/>
          </w:rPr>
          <w:fldChar w:fldCharType="end"/>
        </w:r>
      </w:hyperlink>
    </w:p>
    <w:p w14:paraId="5BF22D45" w14:textId="2ECDE924" w:rsidR="00CB796C" w:rsidRDefault="00483C76">
      <w:pPr>
        <w:pStyle w:val="Verzeichnis5"/>
        <w:tabs>
          <w:tab w:val="left" w:pos="1200"/>
          <w:tab w:val="right" w:pos="9016"/>
        </w:tabs>
        <w:rPr>
          <w:rFonts w:eastAsiaTheme="minorEastAsia" w:cstheme="minorBidi"/>
          <w:noProof/>
          <w:sz w:val="22"/>
          <w:szCs w:val="22"/>
          <w:lang w:val="de-DE" w:eastAsia="de-DE"/>
        </w:rPr>
      </w:pPr>
      <w:hyperlink w:anchor="_Toc170228504" w:history="1">
        <w:r w:rsidR="00CB796C" w:rsidRPr="00474D11">
          <w:rPr>
            <w:rStyle w:val="Hyperlink"/>
            <w:noProof/>
            <w:lang w:val="en-GB"/>
          </w:rPr>
          <w:t>(b)</w:t>
        </w:r>
        <w:r w:rsidR="00CB796C">
          <w:rPr>
            <w:rFonts w:eastAsiaTheme="minorEastAsia" w:cstheme="minorBidi"/>
            <w:noProof/>
            <w:sz w:val="22"/>
            <w:szCs w:val="22"/>
            <w:lang w:val="de-DE" w:eastAsia="de-DE"/>
          </w:rPr>
          <w:tab/>
        </w:r>
        <w:r w:rsidR="00CB796C" w:rsidRPr="00474D11">
          <w:rPr>
            <w:rStyle w:val="Hyperlink"/>
            <w:noProof/>
            <w:lang w:val="en-GB"/>
          </w:rPr>
          <w:t>Person concerned present in another MS</w:t>
        </w:r>
        <w:r w:rsidR="00CB796C">
          <w:rPr>
            <w:noProof/>
            <w:webHidden/>
          </w:rPr>
          <w:tab/>
        </w:r>
        <w:r w:rsidR="00CB796C">
          <w:rPr>
            <w:noProof/>
            <w:webHidden/>
          </w:rPr>
          <w:fldChar w:fldCharType="begin"/>
        </w:r>
        <w:r w:rsidR="00CB796C">
          <w:rPr>
            <w:noProof/>
            <w:webHidden/>
          </w:rPr>
          <w:instrText xml:space="preserve"> PAGEREF _Toc170228504 \h </w:instrText>
        </w:r>
        <w:r w:rsidR="00CB796C">
          <w:rPr>
            <w:noProof/>
            <w:webHidden/>
          </w:rPr>
        </w:r>
        <w:r w:rsidR="00CB796C">
          <w:rPr>
            <w:noProof/>
            <w:webHidden/>
          </w:rPr>
          <w:fldChar w:fldCharType="separate"/>
        </w:r>
        <w:r w:rsidR="009034E1">
          <w:rPr>
            <w:noProof/>
            <w:webHidden/>
          </w:rPr>
          <w:t>27</w:t>
        </w:r>
        <w:r w:rsidR="00CB796C">
          <w:rPr>
            <w:noProof/>
            <w:webHidden/>
          </w:rPr>
          <w:fldChar w:fldCharType="end"/>
        </w:r>
      </w:hyperlink>
    </w:p>
    <w:p w14:paraId="74BF9C56" w14:textId="2C75C6B2" w:rsidR="00CB796C" w:rsidRDefault="00483C76">
      <w:pPr>
        <w:pStyle w:val="Verzeichnis6"/>
        <w:tabs>
          <w:tab w:val="left" w:pos="1440"/>
          <w:tab w:val="right" w:pos="9016"/>
        </w:tabs>
        <w:rPr>
          <w:rFonts w:eastAsiaTheme="minorEastAsia" w:cstheme="minorBidi"/>
          <w:noProof/>
          <w:sz w:val="22"/>
          <w:szCs w:val="22"/>
          <w:lang w:val="de-DE" w:eastAsia="de-DE"/>
        </w:rPr>
      </w:pPr>
      <w:hyperlink w:anchor="_Toc170228505" w:history="1">
        <w:r w:rsidR="00CB796C" w:rsidRPr="00474D11">
          <w:rPr>
            <w:rStyle w:val="Hyperlink"/>
            <w:noProof/>
            <w:lang w:val="en-GB"/>
          </w:rPr>
          <w:t>(i)</w:t>
        </w:r>
        <w:r w:rsidR="00CB796C">
          <w:rPr>
            <w:rFonts w:eastAsiaTheme="minorEastAsia" w:cstheme="minorBidi"/>
            <w:noProof/>
            <w:sz w:val="22"/>
            <w:szCs w:val="22"/>
            <w:lang w:val="de-DE" w:eastAsia="de-DE"/>
          </w:rPr>
          <w:tab/>
        </w:r>
        <w:r w:rsidR="00CB796C" w:rsidRPr="00474D11">
          <w:rPr>
            <w:rStyle w:val="Hyperlink"/>
            <w:noProof/>
            <w:lang w:val="en-GB"/>
          </w:rPr>
          <w:t>detention on remand possible but not ordered</w:t>
        </w:r>
        <w:r w:rsidR="00CB796C">
          <w:rPr>
            <w:noProof/>
            <w:webHidden/>
          </w:rPr>
          <w:tab/>
        </w:r>
        <w:r w:rsidR="00CB796C">
          <w:rPr>
            <w:noProof/>
            <w:webHidden/>
          </w:rPr>
          <w:fldChar w:fldCharType="begin"/>
        </w:r>
        <w:r w:rsidR="00CB796C">
          <w:rPr>
            <w:noProof/>
            <w:webHidden/>
          </w:rPr>
          <w:instrText xml:space="preserve"> PAGEREF _Toc170228505 \h </w:instrText>
        </w:r>
        <w:r w:rsidR="00CB796C">
          <w:rPr>
            <w:noProof/>
            <w:webHidden/>
          </w:rPr>
        </w:r>
        <w:r w:rsidR="00CB796C">
          <w:rPr>
            <w:noProof/>
            <w:webHidden/>
          </w:rPr>
          <w:fldChar w:fldCharType="separate"/>
        </w:r>
        <w:r w:rsidR="009034E1">
          <w:rPr>
            <w:noProof/>
            <w:webHidden/>
          </w:rPr>
          <w:t>27</w:t>
        </w:r>
        <w:r w:rsidR="00CB796C">
          <w:rPr>
            <w:noProof/>
            <w:webHidden/>
          </w:rPr>
          <w:fldChar w:fldCharType="end"/>
        </w:r>
      </w:hyperlink>
    </w:p>
    <w:p w14:paraId="75DD7B23" w14:textId="57FA6786" w:rsidR="00CB796C" w:rsidRDefault="00483C76">
      <w:pPr>
        <w:pStyle w:val="Verzeichnis6"/>
        <w:tabs>
          <w:tab w:val="left" w:pos="1440"/>
          <w:tab w:val="right" w:pos="9016"/>
        </w:tabs>
        <w:rPr>
          <w:rFonts w:eastAsiaTheme="minorEastAsia" w:cstheme="minorBidi"/>
          <w:noProof/>
          <w:sz w:val="22"/>
          <w:szCs w:val="22"/>
          <w:lang w:val="de-DE" w:eastAsia="de-DE"/>
        </w:rPr>
      </w:pPr>
      <w:hyperlink w:anchor="_Toc170228506" w:history="1">
        <w:r w:rsidR="00CB796C" w:rsidRPr="00474D11">
          <w:rPr>
            <w:rStyle w:val="Hyperlink"/>
            <w:noProof/>
            <w:lang w:val="en-GB"/>
          </w:rPr>
          <w:t>(ii)</w:t>
        </w:r>
        <w:r w:rsidR="00CB796C">
          <w:rPr>
            <w:rFonts w:eastAsiaTheme="minorEastAsia" w:cstheme="minorBidi"/>
            <w:noProof/>
            <w:sz w:val="22"/>
            <w:szCs w:val="22"/>
            <w:lang w:val="de-DE" w:eastAsia="de-DE"/>
          </w:rPr>
          <w:tab/>
        </w:r>
        <w:r w:rsidR="00CB796C" w:rsidRPr="00474D11">
          <w:rPr>
            <w:rStyle w:val="Hyperlink"/>
            <w:noProof/>
            <w:lang w:val="en-GB"/>
          </w:rPr>
          <w:t>detention on remand ordered</w:t>
        </w:r>
        <w:r w:rsidR="00CB796C">
          <w:rPr>
            <w:noProof/>
            <w:webHidden/>
          </w:rPr>
          <w:tab/>
        </w:r>
        <w:r w:rsidR="00CB796C">
          <w:rPr>
            <w:noProof/>
            <w:webHidden/>
          </w:rPr>
          <w:fldChar w:fldCharType="begin"/>
        </w:r>
        <w:r w:rsidR="00CB796C">
          <w:rPr>
            <w:noProof/>
            <w:webHidden/>
          </w:rPr>
          <w:instrText xml:space="preserve"> PAGEREF _Toc170228506 \h </w:instrText>
        </w:r>
        <w:r w:rsidR="00CB796C">
          <w:rPr>
            <w:noProof/>
            <w:webHidden/>
          </w:rPr>
        </w:r>
        <w:r w:rsidR="00CB796C">
          <w:rPr>
            <w:noProof/>
            <w:webHidden/>
          </w:rPr>
          <w:fldChar w:fldCharType="separate"/>
        </w:r>
        <w:r w:rsidR="009034E1">
          <w:rPr>
            <w:noProof/>
            <w:webHidden/>
          </w:rPr>
          <w:t>27</w:t>
        </w:r>
        <w:r w:rsidR="00CB796C">
          <w:rPr>
            <w:noProof/>
            <w:webHidden/>
          </w:rPr>
          <w:fldChar w:fldCharType="end"/>
        </w:r>
      </w:hyperlink>
    </w:p>
    <w:p w14:paraId="4CC9DD22" w14:textId="3D54727B" w:rsidR="00CB796C" w:rsidRDefault="00483C76">
      <w:pPr>
        <w:pStyle w:val="Verzeichnis3"/>
        <w:tabs>
          <w:tab w:val="left" w:pos="960"/>
          <w:tab w:val="right" w:pos="9016"/>
        </w:tabs>
        <w:rPr>
          <w:rFonts w:eastAsiaTheme="minorEastAsia" w:cstheme="minorBidi"/>
          <w:noProof/>
          <w:sz w:val="22"/>
          <w:szCs w:val="22"/>
          <w:lang w:val="de-DE" w:eastAsia="de-DE"/>
        </w:rPr>
      </w:pPr>
      <w:hyperlink w:anchor="_Toc170228507" w:history="1">
        <w:r w:rsidR="00CB796C" w:rsidRPr="00474D11">
          <w:rPr>
            <w:rStyle w:val="Hyperlink"/>
            <w:noProof/>
            <w:lang w:val="en-GB"/>
          </w:rPr>
          <w:t>2.1.2.</w:t>
        </w:r>
        <w:r w:rsidR="00CB796C">
          <w:rPr>
            <w:rFonts w:eastAsiaTheme="minorEastAsia" w:cstheme="minorBidi"/>
            <w:noProof/>
            <w:sz w:val="22"/>
            <w:szCs w:val="22"/>
            <w:lang w:val="de-DE" w:eastAsia="de-DE"/>
          </w:rPr>
          <w:tab/>
        </w:r>
        <w:r w:rsidR="00CB796C" w:rsidRPr="00474D11">
          <w:rPr>
            <w:rStyle w:val="Hyperlink"/>
            <w:noProof/>
            <w:lang w:val="en-GB"/>
          </w:rPr>
          <w:t>Trial Stage</w:t>
        </w:r>
        <w:r w:rsidR="00CB796C">
          <w:rPr>
            <w:noProof/>
            <w:webHidden/>
          </w:rPr>
          <w:tab/>
        </w:r>
        <w:r w:rsidR="00CB796C">
          <w:rPr>
            <w:noProof/>
            <w:webHidden/>
          </w:rPr>
          <w:fldChar w:fldCharType="begin"/>
        </w:r>
        <w:r w:rsidR="00CB796C">
          <w:rPr>
            <w:noProof/>
            <w:webHidden/>
          </w:rPr>
          <w:instrText xml:space="preserve"> PAGEREF _Toc170228507 \h </w:instrText>
        </w:r>
        <w:r w:rsidR="00CB796C">
          <w:rPr>
            <w:noProof/>
            <w:webHidden/>
          </w:rPr>
        </w:r>
        <w:r w:rsidR="00CB796C">
          <w:rPr>
            <w:noProof/>
            <w:webHidden/>
          </w:rPr>
          <w:fldChar w:fldCharType="separate"/>
        </w:r>
        <w:r w:rsidR="009034E1">
          <w:rPr>
            <w:noProof/>
            <w:webHidden/>
          </w:rPr>
          <w:t>30</w:t>
        </w:r>
        <w:r w:rsidR="00CB796C">
          <w:rPr>
            <w:noProof/>
            <w:webHidden/>
          </w:rPr>
          <w:fldChar w:fldCharType="end"/>
        </w:r>
      </w:hyperlink>
    </w:p>
    <w:p w14:paraId="77353F15" w14:textId="6BB8AE06" w:rsidR="00CB796C" w:rsidRDefault="00483C76">
      <w:pPr>
        <w:pStyle w:val="Verzeichnis5"/>
        <w:tabs>
          <w:tab w:val="left" w:pos="1200"/>
          <w:tab w:val="right" w:pos="9016"/>
        </w:tabs>
        <w:rPr>
          <w:rFonts w:eastAsiaTheme="minorEastAsia" w:cstheme="minorBidi"/>
          <w:noProof/>
          <w:sz w:val="22"/>
          <w:szCs w:val="22"/>
          <w:lang w:val="de-DE" w:eastAsia="de-DE"/>
        </w:rPr>
      </w:pPr>
      <w:hyperlink w:anchor="_Toc170228508" w:history="1">
        <w:r w:rsidR="00CB796C" w:rsidRPr="00474D11">
          <w:rPr>
            <w:rStyle w:val="Hyperlink"/>
            <w:noProof/>
            <w:lang w:val="en-GB"/>
          </w:rPr>
          <w:t>(a)</w:t>
        </w:r>
        <w:r w:rsidR="00CB796C">
          <w:rPr>
            <w:rFonts w:eastAsiaTheme="minorEastAsia" w:cstheme="minorBidi"/>
            <w:noProof/>
            <w:sz w:val="22"/>
            <w:szCs w:val="22"/>
            <w:lang w:val="de-DE" w:eastAsia="de-DE"/>
          </w:rPr>
          <w:tab/>
        </w:r>
        <w:r w:rsidR="00CB796C" w:rsidRPr="00474D11">
          <w:rPr>
            <w:rStyle w:val="Hyperlink"/>
            <w:noProof/>
            <w:lang w:val="en-GB"/>
          </w:rPr>
          <w:t>Person concerned present in issuing MS</w:t>
        </w:r>
        <w:r w:rsidR="00CB796C">
          <w:rPr>
            <w:noProof/>
            <w:webHidden/>
          </w:rPr>
          <w:tab/>
        </w:r>
        <w:r w:rsidR="00CB796C">
          <w:rPr>
            <w:noProof/>
            <w:webHidden/>
          </w:rPr>
          <w:fldChar w:fldCharType="begin"/>
        </w:r>
        <w:r w:rsidR="00CB796C">
          <w:rPr>
            <w:noProof/>
            <w:webHidden/>
          </w:rPr>
          <w:instrText xml:space="preserve"> PAGEREF _Toc170228508 \h </w:instrText>
        </w:r>
        <w:r w:rsidR="00CB796C">
          <w:rPr>
            <w:noProof/>
            <w:webHidden/>
          </w:rPr>
        </w:r>
        <w:r w:rsidR="00CB796C">
          <w:rPr>
            <w:noProof/>
            <w:webHidden/>
          </w:rPr>
          <w:fldChar w:fldCharType="separate"/>
        </w:r>
        <w:r w:rsidR="009034E1">
          <w:rPr>
            <w:noProof/>
            <w:webHidden/>
          </w:rPr>
          <w:t>30</w:t>
        </w:r>
        <w:r w:rsidR="00CB796C">
          <w:rPr>
            <w:noProof/>
            <w:webHidden/>
          </w:rPr>
          <w:fldChar w:fldCharType="end"/>
        </w:r>
      </w:hyperlink>
    </w:p>
    <w:p w14:paraId="50C211BF" w14:textId="26F9181D" w:rsidR="00CB796C" w:rsidRDefault="00483C76">
      <w:pPr>
        <w:pStyle w:val="Verzeichnis6"/>
        <w:tabs>
          <w:tab w:val="left" w:pos="1440"/>
          <w:tab w:val="right" w:pos="9016"/>
        </w:tabs>
        <w:rPr>
          <w:rFonts w:eastAsiaTheme="minorEastAsia" w:cstheme="minorBidi"/>
          <w:noProof/>
          <w:sz w:val="22"/>
          <w:szCs w:val="22"/>
          <w:lang w:val="de-DE" w:eastAsia="de-DE"/>
        </w:rPr>
      </w:pPr>
      <w:hyperlink w:anchor="_Toc170228509" w:history="1">
        <w:r w:rsidR="00CB796C" w:rsidRPr="00474D11">
          <w:rPr>
            <w:rStyle w:val="Hyperlink"/>
            <w:noProof/>
            <w:lang w:val="en-GB"/>
          </w:rPr>
          <w:t>(i)</w:t>
        </w:r>
        <w:r w:rsidR="00CB796C">
          <w:rPr>
            <w:rFonts w:eastAsiaTheme="minorEastAsia" w:cstheme="minorBidi"/>
            <w:noProof/>
            <w:sz w:val="22"/>
            <w:szCs w:val="22"/>
            <w:lang w:val="de-DE" w:eastAsia="de-DE"/>
          </w:rPr>
          <w:tab/>
        </w:r>
        <w:r w:rsidR="00CB796C" w:rsidRPr="00474D11">
          <w:rPr>
            <w:rStyle w:val="Hyperlink"/>
            <w:noProof/>
            <w:lang w:val="en-GB"/>
          </w:rPr>
          <w:t>detention on remand possible but not ordered</w:t>
        </w:r>
        <w:r w:rsidR="00CB796C">
          <w:rPr>
            <w:noProof/>
            <w:webHidden/>
          </w:rPr>
          <w:tab/>
        </w:r>
        <w:r w:rsidR="00CB796C">
          <w:rPr>
            <w:noProof/>
            <w:webHidden/>
          </w:rPr>
          <w:fldChar w:fldCharType="begin"/>
        </w:r>
        <w:r w:rsidR="00CB796C">
          <w:rPr>
            <w:noProof/>
            <w:webHidden/>
          </w:rPr>
          <w:instrText xml:space="preserve"> PAGEREF _Toc170228509 \h </w:instrText>
        </w:r>
        <w:r w:rsidR="00CB796C">
          <w:rPr>
            <w:noProof/>
            <w:webHidden/>
          </w:rPr>
        </w:r>
        <w:r w:rsidR="00CB796C">
          <w:rPr>
            <w:noProof/>
            <w:webHidden/>
          </w:rPr>
          <w:fldChar w:fldCharType="separate"/>
        </w:r>
        <w:r w:rsidR="009034E1">
          <w:rPr>
            <w:noProof/>
            <w:webHidden/>
          </w:rPr>
          <w:t>30</w:t>
        </w:r>
        <w:r w:rsidR="00CB796C">
          <w:rPr>
            <w:noProof/>
            <w:webHidden/>
          </w:rPr>
          <w:fldChar w:fldCharType="end"/>
        </w:r>
      </w:hyperlink>
    </w:p>
    <w:p w14:paraId="402FB5D0" w14:textId="3D1ED4CC" w:rsidR="00CB796C" w:rsidRDefault="00483C76">
      <w:pPr>
        <w:pStyle w:val="Verzeichnis6"/>
        <w:tabs>
          <w:tab w:val="left" w:pos="1440"/>
          <w:tab w:val="right" w:pos="9016"/>
        </w:tabs>
        <w:rPr>
          <w:rFonts w:eastAsiaTheme="minorEastAsia" w:cstheme="minorBidi"/>
          <w:noProof/>
          <w:sz w:val="22"/>
          <w:szCs w:val="22"/>
          <w:lang w:val="de-DE" w:eastAsia="de-DE"/>
        </w:rPr>
      </w:pPr>
      <w:hyperlink w:anchor="_Toc170228510" w:history="1">
        <w:r w:rsidR="00CB796C" w:rsidRPr="00474D11">
          <w:rPr>
            <w:rStyle w:val="Hyperlink"/>
            <w:noProof/>
            <w:lang w:val="en-GB"/>
          </w:rPr>
          <w:t>(ii)</w:t>
        </w:r>
        <w:r w:rsidR="00CB796C">
          <w:rPr>
            <w:rFonts w:eastAsiaTheme="minorEastAsia" w:cstheme="minorBidi"/>
            <w:noProof/>
            <w:sz w:val="22"/>
            <w:szCs w:val="22"/>
            <w:lang w:val="de-DE" w:eastAsia="de-DE"/>
          </w:rPr>
          <w:tab/>
        </w:r>
        <w:r w:rsidR="00CB796C" w:rsidRPr="00474D11">
          <w:rPr>
            <w:rStyle w:val="Hyperlink"/>
            <w:noProof/>
            <w:lang w:val="en-GB"/>
          </w:rPr>
          <w:t>person concerned in detention on remand</w:t>
        </w:r>
        <w:r w:rsidR="00CB796C">
          <w:rPr>
            <w:noProof/>
            <w:webHidden/>
          </w:rPr>
          <w:tab/>
        </w:r>
        <w:r w:rsidR="00CB796C">
          <w:rPr>
            <w:noProof/>
            <w:webHidden/>
          </w:rPr>
          <w:fldChar w:fldCharType="begin"/>
        </w:r>
        <w:r w:rsidR="00CB796C">
          <w:rPr>
            <w:noProof/>
            <w:webHidden/>
          </w:rPr>
          <w:instrText xml:space="preserve"> PAGEREF _Toc170228510 \h </w:instrText>
        </w:r>
        <w:r w:rsidR="00CB796C">
          <w:rPr>
            <w:noProof/>
            <w:webHidden/>
          </w:rPr>
        </w:r>
        <w:r w:rsidR="00CB796C">
          <w:rPr>
            <w:noProof/>
            <w:webHidden/>
          </w:rPr>
          <w:fldChar w:fldCharType="separate"/>
        </w:r>
        <w:r w:rsidR="009034E1">
          <w:rPr>
            <w:noProof/>
            <w:webHidden/>
          </w:rPr>
          <w:t>30</w:t>
        </w:r>
        <w:r w:rsidR="00CB796C">
          <w:rPr>
            <w:noProof/>
            <w:webHidden/>
          </w:rPr>
          <w:fldChar w:fldCharType="end"/>
        </w:r>
      </w:hyperlink>
    </w:p>
    <w:p w14:paraId="015EB5D9" w14:textId="62D65BCA" w:rsidR="00CB796C" w:rsidRDefault="00483C76">
      <w:pPr>
        <w:pStyle w:val="Verzeichnis5"/>
        <w:tabs>
          <w:tab w:val="left" w:pos="1200"/>
          <w:tab w:val="right" w:pos="9016"/>
        </w:tabs>
        <w:rPr>
          <w:rFonts w:eastAsiaTheme="minorEastAsia" w:cstheme="minorBidi"/>
          <w:noProof/>
          <w:sz w:val="22"/>
          <w:szCs w:val="22"/>
          <w:lang w:val="de-DE" w:eastAsia="de-DE"/>
        </w:rPr>
      </w:pPr>
      <w:hyperlink w:anchor="_Toc170228511" w:history="1">
        <w:r w:rsidR="00CB796C" w:rsidRPr="00474D11">
          <w:rPr>
            <w:rStyle w:val="Hyperlink"/>
            <w:noProof/>
            <w:lang w:val="en-GB"/>
          </w:rPr>
          <w:t>(b)</w:t>
        </w:r>
        <w:r w:rsidR="00CB796C">
          <w:rPr>
            <w:rFonts w:eastAsiaTheme="minorEastAsia" w:cstheme="minorBidi"/>
            <w:noProof/>
            <w:sz w:val="22"/>
            <w:szCs w:val="22"/>
            <w:lang w:val="de-DE" w:eastAsia="de-DE"/>
          </w:rPr>
          <w:tab/>
        </w:r>
        <w:r w:rsidR="00CB796C" w:rsidRPr="00474D11">
          <w:rPr>
            <w:rStyle w:val="Hyperlink"/>
            <w:noProof/>
            <w:lang w:val="en-GB"/>
          </w:rPr>
          <w:t>Person concerned is present in another MS</w:t>
        </w:r>
        <w:r w:rsidR="00CB796C">
          <w:rPr>
            <w:noProof/>
            <w:webHidden/>
          </w:rPr>
          <w:tab/>
        </w:r>
        <w:r w:rsidR="00CB796C">
          <w:rPr>
            <w:noProof/>
            <w:webHidden/>
          </w:rPr>
          <w:fldChar w:fldCharType="begin"/>
        </w:r>
        <w:r w:rsidR="00CB796C">
          <w:rPr>
            <w:noProof/>
            <w:webHidden/>
          </w:rPr>
          <w:instrText xml:space="preserve"> PAGEREF _Toc170228511 \h </w:instrText>
        </w:r>
        <w:r w:rsidR="00CB796C">
          <w:rPr>
            <w:noProof/>
            <w:webHidden/>
          </w:rPr>
        </w:r>
        <w:r w:rsidR="00CB796C">
          <w:rPr>
            <w:noProof/>
            <w:webHidden/>
          </w:rPr>
          <w:fldChar w:fldCharType="separate"/>
        </w:r>
        <w:r w:rsidR="009034E1">
          <w:rPr>
            <w:noProof/>
            <w:webHidden/>
          </w:rPr>
          <w:t>31</w:t>
        </w:r>
        <w:r w:rsidR="00CB796C">
          <w:rPr>
            <w:noProof/>
            <w:webHidden/>
          </w:rPr>
          <w:fldChar w:fldCharType="end"/>
        </w:r>
      </w:hyperlink>
    </w:p>
    <w:p w14:paraId="2972EBAC" w14:textId="548C51BD" w:rsidR="00CB796C" w:rsidRDefault="00483C76">
      <w:pPr>
        <w:pStyle w:val="Verzeichnis6"/>
        <w:tabs>
          <w:tab w:val="left" w:pos="1440"/>
          <w:tab w:val="right" w:pos="9016"/>
        </w:tabs>
        <w:rPr>
          <w:rFonts w:eastAsiaTheme="minorEastAsia" w:cstheme="minorBidi"/>
          <w:noProof/>
          <w:sz w:val="22"/>
          <w:szCs w:val="22"/>
          <w:lang w:val="de-DE" w:eastAsia="de-DE"/>
        </w:rPr>
      </w:pPr>
      <w:hyperlink w:anchor="_Toc170228512" w:history="1">
        <w:r w:rsidR="00CB796C" w:rsidRPr="00474D11">
          <w:rPr>
            <w:rStyle w:val="Hyperlink"/>
            <w:noProof/>
            <w:lang w:val="en-GB"/>
          </w:rPr>
          <w:t>(i)</w:t>
        </w:r>
        <w:r w:rsidR="00CB796C">
          <w:rPr>
            <w:rFonts w:eastAsiaTheme="minorEastAsia" w:cstheme="minorBidi"/>
            <w:noProof/>
            <w:sz w:val="22"/>
            <w:szCs w:val="22"/>
            <w:lang w:val="de-DE" w:eastAsia="de-DE"/>
          </w:rPr>
          <w:tab/>
        </w:r>
        <w:r w:rsidR="00CB796C" w:rsidRPr="00474D11">
          <w:rPr>
            <w:rStyle w:val="Hyperlink"/>
            <w:noProof/>
            <w:lang w:val="en-GB"/>
          </w:rPr>
          <w:t>detention on remand possible but not ordered</w:t>
        </w:r>
        <w:r w:rsidR="00CB796C">
          <w:rPr>
            <w:noProof/>
            <w:webHidden/>
          </w:rPr>
          <w:tab/>
        </w:r>
        <w:r w:rsidR="00CB796C">
          <w:rPr>
            <w:noProof/>
            <w:webHidden/>
          </w:rPr>
          <w:fldChar w:fldCharType="begin"/>
        </w:r>
        <w:r w:rsidR="00CB796C">
          <w:rPr>
            <w:noProof/>
            <w:webHidden/>
          </w:rPr>
          <w:instrText xml:space="preserve"> PAGEREF _Toc170228512 \h </w:instrText>
        </w:r>
        <w:r w:rsidR="00CB796C">
          <w:rPr>
            <w:noProof/>
            <w:webHidden/>
          </w:rPr>
        </w:r>
        <w:r w:rsidR="00CB796C">
          <w:rPr>
            <w:noProof/>
            <w:webHidden/>
          </w:rPr>
          <w:fldChar w:fldCharType="separate"/>
        </w:r>
        <w:r w:rsidR="009034E1">
          <w:rPr>
            <w:noProof/>
            <w:webHidden/>
          </w:rPr>
          <w:t>31</w:t>
        </w:r>
        <w:r w:rsidR="00CB796C">
          <w:rPr>
            <w:noProof/>
            <w:webHidden/>
          </w:rPr>
          <w:fldChar w:fldCharType="end"/>
        </w:r>
      </w:hyperlink>
    </w:p>
    <w:p w14:paraId="38C7F4E9" w14:textId="26289515" w:rsidR="00CB796C" w:rsidRDefault="00483C76">
      <w:pPr>
        <w:pStyle w:val="Verzeichnis6"/>
        <w:tabs>
          <w:tab w:val="left" w:pos="1440"/>
          <w:tab w:val="right" w:pos="9016"/>
        </w:tabs>
        <w:rPr>
          <w:rFonts w:eastAsiaTheme="minorEastAsia" w:cstheme="minorBidi"/>
          <w:noProof/>
          <w:sz w:val="22"/>
          <w:szCs w:val="22"/>
          <w:lang w:val="de-DE" w:eastAsia="de-DE"/>
        </w:rPr>
      </w:pPr>
      <w:hyperlink w:anchor="_Toc170228513" w:history="1">
        <w:r w:rsidR="00CB796C" w:rsidRPr="00474D11">
          <w:rPr>
            <w:rStyle w:val="Hyperlink"/>
            <w:noProof/>
            <w:lang w:val="en-GB"/>
          </w:rPr>
          <w:t>(ii)</w:t>
        </w:r>
        <w:r w:rsidR="00CB796C">
          <w:rPr>
            <w:rFonts w:eastAsiaTheme="minorEastAsia" w:cstheme="minorBidi"/>
            <w:noProof/>
            <w:sz w:val="22"/>
            <w:szCs w:val="22"/>
            <w:lang w:val="de-DE" w:eastAsia="de-DE"/>
          </w:rPr>
          <w:tab/>
        </w:r>
        <w:r w:rsidR="00CB796C" w:rsidRPr="00474D11">
          <w:rPr>
            <w:rStyle w:val="Hyperlink"/>
            <w:noProof/>
            <w:lang w:val="en-GB"/>
          </w:rPr>
          <w:t>detention on remand ordered</w:t>
        </w:r>
        <w:r w:rsidR="00CB796C">
          <w:rPr>
            <w:noProof/>
            <w:webHidden/>
          </w:rPr>
          <w:tab/>
        </w:r>
        <w:r w:rsidR="00CB796C">
          <w:rPr>
            <w:noProof/>
            <w:webHidden/>
          </w:rPr>
          <w:fldChar w:fldCharType="begin"/>
        </w:r>
        <w:r w:rsidR="00CB796C">
          <w:rPr>
            <w:noProof/>
            <w:webHidden/>
          </w:rPr>
          <w:instrText xml:space="preserve"> PAGEREF _Toc170228513 \h </w:instrText>
        </w:r>
        <w:r w:rsidR="00CB796C">
          <w:rPr>
            <w:noProof/>
            <w:webHidden/>
          </w:rPr>
        </w:r>
        <w:r w:rsidR="00CB796C">
          <w:rPr>
            <w:noProof/>
            <w:webHidden/>
          </w:rPr>
          <w:fldChar w:fldCharType="separate"/>
        </w:r>
        <w:r w:rsidR="009034E1">
          <w:rPr>
            <w:noProof/>
            <w:webHidden/>
          </w:rPr>
          <w:t>33</w:t>
        </w:r>
        <w:r w:rsidR="00CB796C">
          <w:rPr>
            <w:noProof/>
            <w:webHidden/>
          </w:rPr>
          <w:fldChar w:fldCharType="end"/>
        </w:r>
      </w:hyperlink>
    </w:p>
    <w:p w14:paraId="6A0B624D" w14:textId="7DEBFCCC" w:rsidR="00CB796C" w:rsidRDefault="00483C76">
      <w:pPr>
        <w:pStyle w:val="Verzeichnis2"/>
        <w:tabs>
          <w:tab w:val="left" w:pos="720"/>
          <w:tab w:val="right" w:pos="9016"/>
        </w:tabs>
        <w:rPr>
          <w:rFonts w:eastAsiaTheme="minorEastAsia" w:cstheme="minorBidi"/>
          <w:b w:val="0"/>
          <w:bCs w:val="0"/>
          <w:noProof/>
          <w:sz w:val="22"/>
          <w:szCs w:val="22"/>
          <w:lang w:val="de-DE" w:eastAsia="de-DE"/>
        </w:rPr>
      </w:pPr>
      <w:hyperlink w:anchor="_Toc170228514" w:history="1">
        <w:r w:rsidR="00CB796C" w:rsidRPr="00474D11">
          <w:rPr>
            <w:rStyle w:val="Hyperlink"/>
            <w:noProof/>
            <w:lang w:val="en-GB"/>
          </w:rPr>
          <w:t>2.2.</w:t>
        </w:r>
        <w:r w:rsidR="00CB796C">
          <w:rPr>
            <w:rFonts w:eastAsiaTheme="minorEastAsia" w:cstheme="minorBidi"/>
            <w:b w:val="0"/>
            <w:bCs w:val="0"/>
            <w:noProof/>
            <w:sz w:val="22"/>
            <w:szCs w:val="22"/>
            <w:lang w:val="de-DE" w:eastAsia="de-DE"/>
          </w:rPr>
          <w:tab/>
        </w:r>
        <w:r w:rsidR="00CB796C" w:rsidRPr="00474D11">
          <w:rPr>
            <w:rStyle w:val="Hyperlink"/>
            <w:noProof/>
            <w:lang w:val="en-GB"/>
          </w:rPr>
          <w:t>Applicability and application of the instruments at the pre-trial stage according to national law</w:t>
        </w:r>
        <w:r w:rsidR="00CB796C">
          <w:rPr>
            <w:noProof/>
            <w:webHidden/>
          </w:rPr>
          <w:tab/>
        </w:r>
        <w:r w:rsidR="00CB796C">
          <w:rPr>
            <w:noProof/>
            <w:webHidden/>
          </w:rPr>
          <w:fldChar w:fldCharType="begin"/>
        </w:r>
        <w:r w:rsidR="00CB796C">
          <w:rPr>
            <w:noProof/>
            <w:webHidden/>
          </w:rPr>
          <w:instrText xml:space="preserve"> PAGEREF _Toc170228514 \h </w:instrText>
        </w:r>
        <w:r w:rsidR="00CB796C">
          <w:rPr>
            <w:noProof/>
            <w:webHidden/>
          </w:rPr>
        </w:r>
        <w:r w:rsidR="00CB796C">
          <w:rPr>
            <w:noProof/>
            <w:webHidden/>
          </w:rPr>
          <w:fldChar w:fldCharType="separate"/>
        </w:r>
        <w:r w:rsidR="009034E1">
          <w:rPr>
            <w:noProof/>
            <w:webHidden/>
          </w:rPr>
          <w:t>36</w:t>
        </w:r>
        <w:r w:rsidR="00CB796C">
          <w:rPr>
            <w:noProof/>
            <w:webHidden/>
          </w:rPr>
          <w:fldChar w:fldCharType="end"/>
        </w:r>
      </w:hyperlink>
    </w:p>
    <w:p w14:paraId="51C7096D" w14:textId="614E2AD3" w:rsidR="00CB796C" w:rsidRDefault="00483C76">
      <w:pPr>
        <w:pStyle w:val="Verzeichnis3"/>
        <w:tabs>
          <w:tab w:val="left" w:pos="960"/>
          <w:tab w:val="right" w:pos="9016"/>
        </w:tabs>
        <w:rPr>
          <w:rFonts w:eastAsiaTheme="minorEastAsia" w:cstheme="minorBidi"/>
          <w:noProof/>
          <w:sz w:val="22"/>
          <w:szCs w:val="22"/>
          <w:lang w:val="de-DE" w:eastAsia="de-DE"/>
        </w:rPr>
      </w:pPr>
      <w:hyperlink w:anchor="_Toc170228515" w:history="1">
        <w:r w:rsidR="00CB796C" w:rsidRPr="00474D11">
          <w:rPr>
            <w:rStyle w:val="Hyperlink"/>
            <w:noProof/>
            <w:lang w:val="en-GB"/>
          </w:rPr>
          <w:t>2.2.1.</w:t>
        </w:r>
        <w:r w:rsidR="00CB796C">
          <w:rPr>
            <w:rFonts w:eastAsiaTheme="minorEastAsia" w:cstheme="minorBidi"/>
            <w:noProof/>
            <w:sz w:val="22"/>
            <w:szCs w:val="22"/>
            <w:lang w:val="de-DE" w:eastAsia="de-DE"/>
          </w:rPr>
          <w:tab/>
        </w:r>
        <w:r w:rsidR="00CB796C" w:rsidRPr="00474D11">
          <w:rPr>
            <w:rStyle w:val="Hyperlink"/>
            <w:noProof/>
            <w:lang w:val="en-GB"/>
          </w:rPr>
          <w:t>Substage 1 (no detention on remand possible)</w:t>
        </w:r>
        <w:r w:rsidR="00CB796C">
          <w:rPr>
            <w:noProof/>
            <w:webHidden/>
          </w:rPr>
          <w:tab/>
        </w:r>
        <w:r w:rsidR="00CB796C">
          <w:rPr>
            <w:noProof/>
            <w:webHidden/>
          </w:rPr>
          <w:fldChar w:fldCharType="begin"/>
        </w:r>
        <w:r w:rsidR="00CB796C">
          <w:rPr>
            <w:noProof/>
            <w:webHidden/>
          </w:rPr>
          <w:instrText xml:space="preserve"> PAGEREF _Toc170228515 \h </w:instrText>
        </w:r>
        <w:r w:rsidR="00CB796C">
          <w:rPr>
            <w:noProof/>
            <w:webHidden/>
          </w:rPr>
        </w:r>
        <w:r w:rsidR="00CB796C">
          <w:rPr>
            <w:noProof/>
            <w:webHidden/>
          </w:rPr>
          <w:fldChar w:fldCharType="separate"/>
        </w:r>
        <w:r w:rsidR="009034E1">
          <w:rPr>
            <w:noProof/>
            <w:webHidden/>
          </w:rPr>
          <w:t>40</w:t>
        </w:r>
        <w:r w:rsidR="00CB796C">
          <w:rPr>
            <w:noProof/>
            <w:webHidden/>
          </w:rPr>
          <w:fldChar w:fldCharType="end"/>
        </w:r>
      </w:hyperlink>
    </w:p>
    <w:p w14:paraId="5BC17230" w14:textId="0ECDBF4A" w:rsidR="00CB796C" w:rsidRDefault="00483C76">
      <w:pPr>
        <w:pStyle w:val="Verzeichnis5"/>
        <w:tabs>
          <w:tab w:val="left" w:pos="1200"/>
          <w:tab w:val="right" w:pos="9016"/>
        </w:tabs>
        <w:rPr>
          <w:rFonts w:eastAsiaTheme="minorEastAsia" w:cstheme="minorBidi"/>
          <w:noProof/>
          <w:sz w:val="22"/>
          <w:szCs w:val="22"/>
          <w:lang w:val="de-DE" w:eastAsia="de-DE"/>
        </w:rPr>
      </w:pPr>
      <w:hyperlink w:anchor="_Toc170228516" w:history="1">
        <w:r w:rsidR="00CB796C" w:rsidRPr="00474D11">
          <w:rPr>
            <w:rStyle w:val="Hyperlink"/>
            <w:noProof/>
            <w:lang w:val="en-GB"/>
          </w:rPr>
          <w:t>(a)</w:t>
        </w:r>
        <w:r w:rsidR="00CB796C">
          <w:rPr>
            <w:rFonts w:eastAsiaTheme="minorEastAsia" w:cstheme="minorBidi"/>
            <w:noProof/>
            <w:sz w:val="22"/>
            <w:szCs w:val="22"/>
            <w:lang w:val="de-DE" w:eastAsia="de-DE"/>
          </w:rPr>
          <w:tab/>
        </w:r>
        <w:r w:rsidR="00CB796C" w:rsidRPr="00474D11">
          <w:rPr>
            <w:rStyle w:val="Hyperlink"/>
            <w:noProof/>
            <w:lang w:val="en-GB"/>
          </w:rPr>
          <w:t>Person concerned present in issuing MS</w:t>
        </w:r>
        <w:r w:rsidR="00CB796C">
          <w:rPr>
            <w:noProof/>
            <w:webHidden/>
          </w:rPr>
          <w:tab/>
        </w:r>
        <w:r w:rsidR="00CB796C">
          <w:rPr>
            <w:noProof/>
            <w:webHidden/>
          </w:rPr>
          <w:fldChar w:fldCharType="begin"/>
        </w:r>
        <w:r w:rsidR="00CB796C">
          <w:rPr>
            <w:noProof/>
            <w:webHidden/>
          </w:rPr>
          <w:instrText xml:space="preserve"> PAGEREF _Toc170228516 \h </w:instrText>
        </w:r>
        <w:r w:rsidR="00CB796C">
          <w:rPr>
            <w:noProof/>
            <w:webHidden/>
          </w:rPr>
        </w:r>
        <w:r w:rsidR="00CB796C">
          <w:rPr>
            <w:noProof/>
            <w:webHidden/>
          </w:rPr>
          <w:fldChar w:fldCharType="separate"/>
        </w:r>
        <w:r w:rsidR="009034E1">
          <w:rPr>
            <w:noProof/>
            <w:webHidden/>
          </w:rPr>
          <w:t>40</w:t>
        </w:r>
        <w:r w:rsidR="00CB796C">
          <w:rPr>
            <w:noProof/>
            <w:webHidden/>
          </w:rPr>
          <w:fldChar w:fldCharType="end"/>
        </w:r>
      </w:hyperlink>
    </w:p>
    <w:p w14:paraId="2746823E" w14:textId="06303D2C" w:rsidR="00CB796C" w:rsidRDefault="00483C76">
      <w:pPr>
        <w:pStyle w:val="Verzeichnis5"/>
        <w:tabs>
          <w:tab w:val="left" w:pos="1200"/>
          <w:tab w:val="right" w:pos="9016"/>
        </w:tabs>
        <w:rPr>
          <w:rFonts w:eastAsiaTheme="minorEastAsia" w:cstheme="minorBidi"/>
          <w:noProof/>
          <w:sz w:val="22"/>
          <w:szCs w:val="22"/>
          <w:lang w:val="de-DE" w:eastAsia="de-DE"/>
        </w:rPr>
      </w:pPr>
      <w:hyperlink w:anchor="_Toc170228517" w:history="1">
        <w:r w:rsidR="00CB796C" w:rsidRPr="00474D11">
          <w:rPr>
            <w:rStyle w:val="Hyperlink"/>
            <w:noProof/>
            <w:lang w:val="en-GB"/>
          </w:rPr>
          <w:t>(b)</w:t>
        </w:r>
        <w:r w:rsidR="00CB796C">
          <w:rPr>
            <w:rFonts w:eastAsiaTheme="minorEastAsia" w:cstheme="minorBidi"/>
            <w:noProof/>
            <w:sz w:val="22"/>
            <w:szCs w:val="22"/>
            <w:lang w:val="de-DE" w:eastAsia="de-DE"/>
          </w:rPr>
          <w:tab/>
        </w:r>
        <w:r w:rsidR="00CB796C" w:rsidRPr="00474D11">
          <w:rPr>
            <w:rStyle w:val="Hyperlink"/>
            <w:noProof/>
            <w:lang w:val="en-GB"/>
          </w:rPr>
          <w:t>Person concerned is present in another MS</w:t>
        </w:r>
        <w:r w:rsidR="00CB796C">
          <w:rPr>
            <w:noProof/>
            <w:webHidden/>
          </w:rPr>
          <w:tab/>
        </w:r>
        <w:r w:rsidR="00CB796C">
          <w:rPr>
            <w:noProof/>
            <w:webHidden/>
          </w:rPr>
          <w:fldChar w:fldCharType="begin"/>
        </w:r>
        <w:r w:rsidR="00CB796C">
          <w:rPr>
            <w:noProof/>
            <w:webHidden/>
          </w:rPr>
          <w:instrText xml:space="preserve"> PAGEREF _Toc170228517 \h </w:instrText>
        </w:r>
        <w:r w:rsidR="00CB796C">
          <w:rPr>
            <w:noProof/>
            <w:webHidden/>
          </w:rPr>
        </w:r>
        <w:r w:rsidR="00CB796C">
          <w:rPr>
            <w:noProof/>
            <w:webHidden/>
          </w:rPr>
          <w:fldChar w:fldCharType="separate"/>
        </w:r>
        <w:r w:rsidR="009034E1">
          <w:rPr>
            <w:noProof/>
            <w:webHidden/>
          </w:rPr>
          <w:t>42</w:t>
        </w:r>
        <w:r w:rsidR="00CB796C">
          <w:rPr>
            <w:noProof/>
            <w:webHidden/>
          </w:rPr>
          <w:fldChar w:fldCharType="end"/>
        </w:r>
      </w:hyperlink>
    </w:p>
    <w:p w14:paraId="56FF4017" w14:textId="03A778CF" w:rsidR="00CB796C" w:rsidRDefault="00483C76">
      <w:pPr>
        <w:pStyle w:val="Verzeichnis3"/>
        <w:tabs>
          <w:tab w:val="left" w:pos="960"/>
          <w:tab w:val="right" w:pos="9016"/>
        </w:tabs>
        <w:rPr>
          <w:rFonts w:eastAsiaTheme="minorEastAsia" w:cstheme="minorBidi"/>
          <w:noProof/>
          <w:sz w:val="22"/>
          <w:szCs w:val="22"/>
          <w:lang w:val="de-DE" w:eastAsia="de-DE"/>
        </w:rPr>
      </w:pPr>
      <w:hyperlink w:anchor="_Toc170228518" w:history="1">
        <w:r w:rsidR="00CB796C" w:rsidRPr="00474D11">
          <w:rPr>
            <w:rStyle w:val="Hyperlink"/>
            <w:noProof/>
            <w:lang w:val="en-GB"/>
          </w:rPr>
          <w:t>2.2.2.</w:t>
        </w:r>
        <w:r w:rsidR="00CB796C">
          <w:rPr>
            <w:rFonts w:eastAsiaTheme="minorEastAsia" w:cstheme="minorBidi"/>
            <w:noProof/>
            <w:sz w:val="22"/>
            <w:szCs w:val="22"/>
            <w:lang w:val="de-DE" w:eastAsia="de-DE"/>
          </w:rPr>
          <w:tab/>
        </w:r>
        <w:r w:rsidR="00CB796C" w:rsidRPr="00474D11">
          <w:rPr>
            <w:rStyle w:val="Hyperlink"/>
            <w:noProof/>
            <w:lang w:val="en-GB"/>
          </w:rPr>
          <w:t>Substage 2 (detention on remand possible)</w:t>
        </w:r>
        <w:r w:rsidR="00CB796C">
          <w:rPr>
            <w:noProof/>
            <w:webHidden/>
          </w:rPr>
          <w:tab/>
        </w:r>
        <w:r w:rsidR="00CB796C">
          <w:rPr>
            <w:noProof/>
            <w:webHidden/>
          </w:rPr>
          <w:fldChar w:fldCharType="begin"/>
        </w:r>
        <w:r w:rsidR="00CB796C">
          <w:rPr>
            <w:noProof/>
            <w:webHidden/>
          </w:rPr>
          <w:instrText xml:space="preserve"> PAGEREF _Toc170228518 \h </w:instrText>
        </w:r>
        <w:r w:rsidR="00CB796C">
          <w:rPr>
            <w:noProof/>
            <w:webHidden/>
          </w:rPr>
        </w:r>
        <w:r w:rsidR="00CB796C">
          <w:rPr>
            <w:noProof/>
            <w:webHidden/>
          </w:rPr>
          <w:fldChar w:fldCharType="separate"/>
        </w:r>
        <w:r w:rsidR="009034E1">
          <w:rPr>
            <w:noProof/>
            <w:webHidden/>
          </w:rPr>
          <w:t>45</w:t>
        </w:r>
        <w:r w:rsidR="00CB796C">
          <w:rPr>
            <w:noProof/>
            <w:webHidden/>
          </w:rPr>
          <w:fldChar w:fldCharType="end"/>
        </w:r>
      </w:hyperlink>
    </w:p>
    <w:p w14:paraId="194A9BB5" w14:textId="4AD25D0A" w:rsidR="00CB796C" w:rsidRDefault="00483C76">
      <w:pPr>
        <w:pStyle w:val="Verzeichnis5"/>
        <w:tabs>
          <w:tab w:val="left" w:pos="1200"/>
          <w:tab w:val="right" w:pos="9016"/>
        </w:tabs>
        <w:rPr>
          <w:rFonts w:eastAsiaTheme="minorEastAsia" w:cstheme="minorBidi"/>
          <w:noProof/>
          <w:sz w:val="22"/>
          <w:szCs w:val="22"/>
          <w:lang w:val="de-DE" w:eastAsia="de-DE"/>
        </w:rPr>
      </w:pPr>
      <w:hyperlink w:anchor="_Toc170228519" w:history="1">
        <w:r w:rsidR="00CB796C" w:rsidRPr="00474D11">
          <w:rPr>
            <w:rStyle w:val="Hyperlink"/>
            <w:noProof/>
            <w:lang w:val="en-GB"/>
          </w:rPr>
          <w:t>(a)</w:t>
        </w:r>
        <w:r w:rsidR="00CB796C">
          <w:rPr>
            <w:rFonts w:eastAsiaTheme="minorEastAsia" w:cstheme="minorBidi"/>
            <w:noProof/>
            <w:sz w:val="22"/>
            <w:szCs w:val="22"/>
            <w:lang w:val="de-DE" w:eastAsia="de-DE"/>
          </w:rPr>
          <w:tab/>
        </w:r>
        <w:r w:rsidR="00CB796C" w:rsidRPr="00474D11">
          <w:rPr>
            <w:rStyle w:val="Hyperlink"/>
            <w:noProof/>
            <w:lang w:val="en-GB"/>
          </w:rPr>
          <w:t>Person concerned present in issuing MS</w:t>
        </w:r>
        <w:r w:rsidR="00CB796C">
          <w:rPr>
            <w:noProof/>
            <w:webHidden/>
          </w:rPr>
          <w:tab/>
        </w:r>
        <w:r w:rsidR="00CB796C">
          <w:rPr>
            <w:noProof/>
            <w:webHidden/>
          </w:rPr>
          <w:fldChar w:fldCharType="begin"/>
        </w:r>
        <w:r w:rsidR="00CB796C">
          <w:rPr>
            <w:noProof/>
            <w:webHidden/>
          </w:rPr>
          <w:instrText xml:space="preserve"> PAGEREF _Toc170228519 \h </w:instrText>
        </w:r>
        <w:r w:rsidR="00CB796C">
          <w:rPr>
            <w:noProof/>
            <w:webHidden/>
          </w:rPr>
        </w:r>
        <w:r w:rsidR="00CB796C">
          <w:rPr>
            <w:noProof/>
            <w:webHidden/>
          </w:rPr>
          <w:fldChar w:fldCharType="separate"/>
        </w:r>
        <w:r w:rsidR="009034E1">
          <w:rPr>
            <w:noProof/>
            <w:webHidden/>
          </w:rPr>
          <w:t>45</w:t>
        </w:r>
        <w:r w:rsidR="00CB796C">
          <w:rPr>
            <w:noProof/>
            <w:webHidden/>
          </w:rPr>
          <w:fldChar w:fldCharType="end"/>
        </w:r>
      </w:hyperlink>
    </w:p>
    <w:p w14:paraId="5E443110" w14:textId="0348192F" w:rsidR="00CB796C" w:rsidRDefault="00483C76">
      <w:pPr>
        <w:pStyle w:val="Verzeichnis6"/>
        <w:tabs>
          <w:tab w:val="left" w:pos="1440"/>
          <w:tab w:val="right" w:pos="9016"/>
        </w:tabs>
        <w:rPr>
          <w:rFonts w:eastAsiaTheme="minorEastAsia" w:cstheme="minorBidi"/>
          <w:noProof/>
          <w:sz w:val="22"/>
          <w:szCs w:val="22"/>
          <w:lang w:val="de-DE" w:eastAsia="de-DE"/>
        </w:rPr>
      </w:pPr>
      <w:hyperlink w:anchor="_Toc170228520" w:history="1">
        <w:r w:rsidR="00CB796C" w:rsidRPr="00474D11">
          <w:rPr>
            <w:rStyle w:val="Hyperlink"/>
            <w:noProof/>
            <w:lang w:val="en-GB"/>
          </w:rPr>
          <w:t>(i)</w:t>
        </w:r>
        <w:r w:rsidR="00CB796C">
          <w:rPr>
            <w:rFonts w:eastAsiaTheme="minorEastAsia" w:cstheme="minorBidi"/>
            <w:noProof/>
            <w:sz w:val="22"/>
            <w:szCs w:val="22"/>
            <w:lang w:val="de-DE" w:eastAsia="de-DE"/>
          </w:rPr>
          <w:tab/>
        </w:r>
        <w:r w:rsidR="00CB796C" w:rsidRPr="00474D11">
          <w:rPr>
            <w:rStyle w:val="Hyperlink"/>
            <w:noProof/>
            <w:lang w:val="en-GB"/>
          </w:rPr>
          <w:t>detention on remand possible but not ordered</w:t>
        </w:r>
        <w:r w:rsidR="00CB796C">
          <w:rPr>
            <w:noProof/>
            <w:webHidden/>
          </w:rPr>
          <w:tab/>
        </w:r>
        <w:r w:rsidR="00CB796C">
          <w:rPr>
            <w:noProof/>
            <w:webHidden/>
          </w:rPr>
          <w:fldChar w:fldCharType="begin"/>
        </w:r>
        <w:r w:rsidR="00CB796C">
          <w:rPr>
            <w:noProof/>
            <w:webHidden/>
          </w:rPr>
          <w:instrText xml:space="preserve"> PAGEREF _Toc170228520 \h </w:instrText>
        </w:r>
        <w:r w:rsidR="00CB796C">
          <w:rPr>
            <w:noProof/>
            <w:webHidden/>
          </w:rPr>
        </w:r>
        <w:r w:rsidR="00CB796C">
          <w:rPr>
            <w:noProof/>
            <w:webHidden/>
          </w:rPr>
          <w:fldChar w:fldCharType="separate"/>
        </w:r>
        <w:r w:rsidR="009034E1">
          <w:rPr>
            <w:noProof/>
            <w:webHidden/>
          </w:rPr>
          <w:t>45</w:t>
        </w:r>
        <w:r w:rsidR="00CB796C">
          <w:rPr>
            <w:noProof/>
            <w:webHidden/>
          </w:rPr>
          <w:fldChar w:fldCharType="end"/>
        </w:r>
      </w:hyperlink>
    </w:p>
    <w:p w14:paraId="791B297F" w14:textId="7FFADDA9" w:rsidR="00CB796C" w:rsidRDefault="00483C76">
      <w:pPr>
        <w:pStyle w:val="Verzeichnis6"/>
        <w:tabs>
          <w:tab w:val="left" w:pos="1440"/>
          <w:tab w:val="right" w:pos="9016"/>
        </w:tabs>
        <w:rPr>
          <w:rFonts w:eastAsiaTheme="minorEastAsia" w:cstheme="minorBidi"/>
          <w:noProof/>
          <w:sz w:val="22"/>
          <w:szCs w:val="22"/>
          <w:lang w:val="de-DE" w:eastAsia="de-DE"/>
        </w:rPr>
      </w:pPr>
      <w:hyperlink w:anchor="_Toc170228521" w:history="1">
        <w:r w:rsidR="00CB796C" w:rsidRPr="00474D11">
          <w:rPr>
            <w:rStyle w:val="Hyperlink"/>
            <w:noProof/>
            <w:lang w:val="en-GB"/>
          </w:rPr>
          <w:t>(ii)</w:t>
        </w:r>
        <w:r w:rsidR="00CB796C">
          <w:rPr>
            <w:rFonts w:eastAsiaTheme="minorEastAsia" w:cstheme="minorBidi"/>
            <w:noProof/>
            <w:sz w:val="22"/>
            <w:szCs w:val="22"/>
            <w:lang w:val="de-DE" w:eastAsia="de-DE"/>
          </w:rPr>
          <w:tab/>
        </w:r>
        <w:r w:rsidR="00CB796C" w:rsidRPr="00474D11">
          <w:rPr>
            <w:rStyle w:val="Hyperlink"/>
            <w:noProof/>
            <w:lang w:val="en-GB"/>
          </w:rPr>
          <w:t>person concerned in detention on remand</w:t>
        </w:r>
        <w:r w:rsidR="00CB796C">
          <w:rPr>
            <w:noProof/>
            <w:webHidden/>
          </w:rPr>
          <w:tab/>
        </w:r>
        <w:r w:rsidR="00CB796C">
          <w:rPr>
            <w:noProof/>
            <w:webHidden/>
          </w:rPr>
          <w:fldChar w:fldCharType="begin"/>
        </w:r>
        <w:r w:rsidR="00CB796C">
          <w:rPr>
            <w:noProof/>
            <w:webHidden/>
          </w:rPr>
          <w:instrText xml:space="preserve"> PAGEREF _Toc170228521 \h </w:instrText>
        </w:r>
        <w:r w:rsidR="00CB796C">
          <w:rPr>
            <w:noProof/>
            <w:webHidden/>
          </w:rPr>
        </w:r>
        <w:r w:rsidR="00CB796C">
          <w:rPr>
            <w:noProof/>
            <w:webHidden/>
          </w:rPr>
          <w:fldChar w:fldCharType="separate"/>
        </w:r>
        <w:r w:rsidR="009034E1">
          <w:rPr>
            <w:noProof/>
            <w:webHidden/>
          </w:rPr>
          <w:t>46</w:t>
        </w:r>
        <w:r w:rsidR="00CB796C">
          <w:rPr>
            <w:noProof/>
            <w:webHidden/>
          </w:rPr>
          <w:fldChar w:fldCharType="end"/>
        </w:r>
      </w:hyperlink>
    </w:p>
    <w:p w14:paraId="2213E28D" w14:textId="5616A870" w:rsidR="00CB796C" w:rsidRDefault="00483C76">
      <w:pPr>
        <w:pStyle w:val="Verzeichnis5"/>
        <w:tabs>
          <w:tab w:val="left" w:pos="1200"/>
          <w:tab w:val="right" w:pos="9016"/>
        </w:tabs>
        <w:rPr>
          <w:rFonts w:eastAsiaTheme="minorEastAsia" w:cstheme="minorBidi"/>
          <w:noProof/>
          <w:sz w:val="22"/>
          <w:szCs w:val="22"/>
          <w:lang w:val="de-DE" w:eastAsia="de-DE"/>
        </w:rPr>
      </w:pPr>
      <w:hyperlink w:anchor="_Toc170228522" w:history="1">
        <w:r w:rsidR="00CB796C" w:rsidRPr="00474D11">
          <w:rPr>
            <w:rStyle w:val="Hyperlink"/>
            <w:noProof/>
            <w:lang w:val="en-GB"/>
          </w:rPr>
          <w:t>(b)</w:t>
        </w:r>
        <w:r w:rsidR="00CB796C">
          <w:rPr>
            <w:rFonts w:eastAsiaTheme="minorEastAsia" w:cstheme="minorBidi"/>
            <w:noProof/>
            <w:sz w:val="22"/>
            <w:szCs w:val="22"/>
            <w:lang w:val="de-DE" w:eastAsia="de-DE"/>
          </w:rPr>
          <w:tab/>
        </w:r>
        <w:r w:rsidR="00CB796C" w:rsidRPr="00474D11">
          <w:rPr>
            <w:rStyle w:val="Hyperlink"/>
            <w:noProof/>
            <w:lang w:val="en-GB"/>
          </w:rPr>
          <w:t>Person concerned is present in another MS</w:t>
        </w:r>
        <w:r w:rsidR="00CB796C">
          <w:rPr>
            <w:noProof/>
            <w:webHidden/>
          </w:rPr>
          <w:tab/>
        </w:r>
        <w:r w:rsidR="00CB796C">
          <w:rPr>
            <w:noProof/>
            <w:webHidden/>
          </w:rPr>
          <w:fldChar w:fldCharType="begin"/>
        </w:r>
        <w:r w:rsidR="00CB796C">
          <w:rPr>
            <w:noProof/>
            <w:webHidden/>
          </w:rPr>
          <w:instrText xml:space="preserve"> PAGEREF _Toc170228522 \h </w:instrText>
        </w:r>
        <w:r w:rsidR="00CB796C">
          <w:rPr>
            <w:noProof/>
            <w:webHidden/>
          </w:rPr>
        </w:r>
        <w:r w:rsidR="00CB796C">
          <w:rPr>
            <w:noProof/>
            <w:webHidden/>
          </w:rPr>
          <w:fldChar w:fldCharType="separate"/>
        </w:r>
        <w:r w:rsidR="009034E1">
          <w:rPr>
            <w:noProof/>
            <w:webHidden/>
          </w:rPr>
          <w:t>48</w:t>
        </w:r>
        <w:r w:rsidR="00CB796C">
          <w:rPr>
            <w:noProof/>
            <w:webHidden/>
          </w:rPr>
          <w:fldChar w:fldCharType="end"/>
        </w:r>
      </w:hyperlink>
    </w:p>
    <w:p w14:paraId="6FE706F9" w14:textId="3E48ADD3" w:rsidR="00CB796C" w:rsidRDefault="00483C76">
      <w:pPr>
        <w:pStyle w:val="Verzeichnis6"/>
        <w:tabs>
          <w:tab w:val="left" w:pos="1440"/>
          <w:tab w:val="right" w:pos="9016"/>
        </w:tabs>
        <w:rPr>
          <w:rFonts w:eastAsiaTheme="minorEastAsia" w:cstheme="minorBidi"/>
          <w:noProof/>
          <w:sz w:val="22"/>
          <w:szCs w:val="22"/>
          <w:lang w:val="de-DE" w:eastAsia="de-DE"/>
        </w:rPr>
      </w:pPr>
      <w:hyperlink w:anchor="_Toc170228523" w:history="1">
        <w:r w:rsidR="00CB796C" w:rsidRPr="00474D11">
          <w:rPr>
            <w:rStyle w:val="Hyperlink"/>
            <w:noProof/>
            <w:lang w:val="en-GB"/>
          </w:rPr>
          <w:t>(i)</w:t>
        </w:r>
        <w:r w:rsidR="00CB796C">
          <w:rPr>
            <w:rFonts w:eastAsiaTheme="minorEastAsia" w:cstheme="minorBidi"/>
            <w:noProof/>
            <w:sz w:val="22"/>
            <w:szCs w:val="22"/>
            <w:lang w:val="de-DE" w:eastAsia="de-DE"/>
          </w:rPr>
          <w:tab/>
        </w:r>
        <w:r w:rsidR="00CB796C" w:rsidRPr="00474D11">
          <w:rPr>
            <w:rStyle w:val="Hyperlink"/>
            <w:noProof/>
            <w:lang w:val="en-GB"/>
          </w:rPr>
          <w:t>detention on remand possible but not ordered</w:t>
        </w:r>
        <w:r w:rsidR="00CB796C">
          <w:rPr>
            <w:noProof/>
            <w:webHidden/>
          </w:rPr>
          <w:tab/>
        </w:r>
        <w:r w:rsidR="00CB796C">
          <w:rPr>
            <w:noProof/>
            <w:webHidden/>
          </w:rPr>
          <w:fldChar w:fldCharType="begin"/>
        </w:r>
        <w:r w:rsidR="00CB796C">
          <w:rPr>
            <w:noProof/>
            <w:webHidden/>
          </w:rPr>
          <w:instrText xml:space="preserve"> PAGEREF _Toc170228523 \h </w:instrText>
        </w:r>
        <w:r w:rsidR="00CB796C">
          <w:rPr>
            <w:noProof/>
            <w:webHidden/>
          </w:rPr>
        </w:r>
        <w:r w:rsidR="00CB796C">
          <w:rPr>
            <w:noProof/>
            <w:webHidden/>
          </w:rPr>
          <w:fldChar w:fldCharType="separate"/>
        </w:r>
        <w:r w:rsidR="009034E1">
          <w:rPr>
            <w:noProof/>
            <w:webHidden/>
          </w:rPr>
          <w:t>48</w:t>
        </w:r>
        <w:r w:rsidR="00CB796C">
          <w:rPr>
            <w:noProof/>
            <w:webHidden/>
          </w:rPr>
          <w:fldChar w:fldCharType="end"/>
        </w:r>
      </w:hyperlink>
    </w:p>
    <w:p w14:paraId="0D0370CD" w14:textId="05414907" w:rsidR="00CB796C" w:rsidRDefault="00483C76">
      <w:pPr>
        <w:pStyle w:val="Verzeichnis6"/>
        <w:tabs>
          <w:tab w:val="left" w:pos="1440"/>
          <w:tab w:val="right" w:pos="9016"/>
        </w:tabs>
        <w:rPr>
          <w:rFonts w:eastAsiaTheme="minorEastAsia" w:cstheme="minorBidi"/>
          <w:noProof/>
          <w:sz w:val="22"/>
          <w:szCs w:val="22"/>
          <w:lang w:val="de-DE" w:eastAsia="de-DE"/>
        </w:rPr>
      </w:pPr>
      <w:hyperlink w:anchor="_Toc170228524" w:history="1">
        <w:r w:rsidR="00CB796C" w:rsidRPr="00474D11">
          <w:rPr>
            <w:rStyle w:val="Hyperlink"/>
            <w:noProof/>
            <w:lang w:val="en-GB"/>
          </w:rPr>
          <w:t>(ii)</w:t>
        </w:r>
        <w:r w:rsidR="00CB796C">
          <w:rPr>
            <w:rFonts w:eastAsiaTheme="minorEastAsia" w:cstheme="minorBidi"/>
            <w:noProof/>
            <w:sz w:val="22"/>
            <w:szCs w:val="22"/>
            <w:lang w:val="de-DE" w:eastAsia="de-DE"/>
          </w:rPr>
          <w:tab/>
        </w:r>
        <w:r w:rsidR="00CB796C" w:rsidRPr="00474D11">
          <w:rPr>
            <w:rStyle w:val="Hyperlink"/>
            <w:noProof/>
            <w:lang w:val="en-GB"/>
          </w:rPr>
          <w:t>detention on remand ordered</w:t>
        </w:r>
        <w:r w:rsidR="00CB796C">
          <w:rPr>
            <w:noProof/>
            <w:webHidden/>
          </w:rPr>
          <w:tab/>
        </w:r>
        <w:r w:rsidR="00CB796C">
          <w:rPr>
            <w:noProof/>
            <w:webHidden/>
          </w:rPr>
          <w:fldChar w:fldCharType="begin"/>
        </w:r>
        <w:r w:rsidR="00CB796C">
          <w:rPr>
            <w:noProof/>
            <w:webHidden/>
          </w:rPr>
          <w:instrText xml:space="preserve"> PAGEREF _Toc170228524 \h </w:instrText>
        </w:r>
        <w:r w:rsidR="00CB796C">
          <w:rPr>
            <w:noProof/>
            <w:webHidden/>
          </w:rPr>
        </w:r>
        <w:r w:rsidR="00CB796C">
          <w:rPr>
            <w:noProof/>
            <w:webHidden/>
          </w:rPr>
          <w:fldChar w:fldCharType="separate"/>
        </w:r>
        <w:r w:rsidR="009034E1">
          <w:rPr>
            <w:noProof/>
            <w:webHidden/>
          </w:rPr>
          <w:t>50</w:t>
        </w:r>
        <w:r w:rsidR="00CB796C">
          <w:rPr>
            <w:noProof/>
            <w:webHidden/>
          </w:rPr>
          <w:fldChar w:fldCharType="end"/>
        </w:r>
      </w:hyperlink>
    </w:p>
    <w:p w14:paraId="580B2324" w14:textId="349B4F0F" w:rsidR="00CB796C" w:rsidRDefault="00483C76">
      <w:pPr>
        <w:pStyle w:val="Verzeichnis2"/>
        <w:tabs>
          <w:tab w:val="left" w:pos="720"/>
          <w:tab w:val="right" w:pos="9016"/>
        </w:tabs>
        <w:rPr>
          <w:rFonts w:eastAsiaTheme="minorEastAsia" w:cstheme="minorBidi"/>
          <w:b w:val="0"/>
          <w:bCs w:val="0"/>
          <w:noProof/>
          <w:sz w:val="22"/>
          <w:szCs w:val="22"/>
          <w:lang w:val="de-DE" w:eastAsia="de-DE"/>
        </w:rPr>
      </w:pPr>
      <w:hyperlink w:anchor="_Toc170228525" w:history="1">
        <w:r w:rsidR="00CB796C" w:rsidRPr="00474D11">
          <w:rPr>
            <w:rStyle w:val="Hyperlink"/>
            <w:noProof/>
            <w:lang w:val="en-GB"/>
          </w:rPr>
          <w:t>2.3.</w:t>
        </w:r>
        <w:r w:rsidR="00CB796C">
          <w:rPr>
            <w:rFonts w:eastAsiaTheme="minorEastAsia" w:cstheme="minorBidi"/>
            <w:b w:val="0"/>
            <w:bCs w:val="0"/>
            <w:noProof/>
            <w:sz w:val="22"/>
            <w:szCs w:val="22"/>
            <w:lang w:val="de-DE" w:eastAsia="de-DE"/>
          </w:rPr>
          <w:tab/>
        </w:r>
        <w:r w:rsidR="00CB796C" w:rsidRPr="00474D11">
          <w:rPr>
            <w:rStyle w:val="Hyperlink"/>
            <w:noProof/>
            <w:lang w:val="en-GB"/>
          </w:rPr>
          <w:t>Applicability and application of the instruments at the trial stage according to national law</w:t>
        </w:r>
        <w:r w:rsidR="00CB796C">
          <w:rPr>
            <w:noProof/>
            <w:webHidden/>
          </w:rPr>
          <w:tab/>
        </w:r>
        <w:r w:rsidR="00CB796C">
          <w:rPr>
            <w:noProof/>
            <w:webHidden/>
          </w:rPr>
          <w:fldChar w:fldCharType="begin"/>
        </w:r>
        <w:r w:rsidR="00CB796C">
          <w:rPr>
            <w:noProof/>
            <w:webHidden/>
          </w:rPr>
          <w:instrText xml:space="preserve"> PAGEREF _Toc170228525 \h </w:instrText>
        </w:r>
        <w:r w:rsidR="00CB796C">
          <w:rPr>
            <w:noProof/>
            <w:webHidden/>
          </w:rPr>
        </w:r>
        <w:r w:rsidR="00CB796C">
          <w:rPr>
            <w:noProof/>
            <w:webHidden/>
          </w:rPr>
          <w:fldChar w:fldCharType="separate"/>
        </w:r>
        <w:r w:rsidR="009034E1">
          <w:rPr>
            <w:noProof/>
            <w:webHidden/>
          </w:rPr>
          <w:t>56</w:t>
        </w:r>
        <w:r w:rsidR="00CB796C">
          <w:rPr>
            <w:noProof/>
            <w:webHidden/>
          </w:rPr>
          <w:fldChar w:fldCharType="end"/>
        </w:r>
      </w:hyperlink>
    </w:p>
    <w:p w14:paraId="3E4FFE89" w14:textId="4534D129" w:rsidR="00CB796C" w:rsidRDefault="00483C76">
      <w:pPr>
        <w:pStyle w:val="Verzeichnis5"/>
        <w:tabs>
          <w:tab w:val="left" w:pos="1200"/>
          <w:tab w:val="right" w:pos="9016"/>
        </w:tabs>
        <w:rPr>
          <w:rFonts w:eastAsiaTheme="minorEastAsia" w:cstheme="minorBidi"/>
          <w:noProof/>
          <w:sz w:val="22"/>
          <w:szCs w:val="22"/>
          <w:lang w:val="de-DE" w:eastAsia="de-DE"/>
        </w:rPr>
      </w:pPr>
      <w:hyperlink w:anchor="_Toc170228526" w:history="1">
        <w:r w:rsidR="00CB796C" w:rsidRPr="00474D11">
          <w:rPr>
            <w:rStyle w:val="Hyperlink"/>
            <w:noProof/>
            <w:lang w:val="en-GB"/>
          </w:rPr>
          <w:t>(a)</w:t>
        </w:r>
        <w:r w:rsidR="00CB796C">
          <w:rPr>
            <w:rFonts w:eastAsiaTheme="minorEastAsia" w:cstheme="minorBidi"/>
            <w:noProof/>
            <w:sz w:val="22"/>
            <w:szCs w:val="22"/>
            <w:lang w:val="de-DE" w:eastAsia="de-DE"/>
          </w:rPr>
          <w:tab/>
        </w:r>
        <w:r w:rsidR="00CB796C" w:rsidRPr="00474D11">
          <w:rPr>
            <w:rStyle w:val="Hyperlink"/>
            <w:noProof/>
            <w:lang w:val="en-GB"/>
          </w:rPr>
          <w:t>Person concerned present in issuing MS</w:t>
        </w:r>
        <w:r w:rsidR="00CB796C">
          <w:rPr>
            <w:noProof/>
            <w:webHidden/>
          </w:rPr>
          <w:tab/>
        </w:r>
        <w:r w:rsidR="00CB796C">
          <w:rPr>
            <w:noProof/>
            <w:webHidden/>
          </w:rPr>
          <w:fldChar w:fldCharType="begin"/>
        </w:r>
        <w:r w:rsidR="00CB796C">
          <w:rPr>
            <w:noProof/>
            <w:webHidden/>
          </w:rPr>
          <w:instrText xml:space="preserve"> PAGEREF _Toc170228526 \h </w:instrText>
        </w:r>
        <w:r w:rsidR="00CB796C">
          <w:rPr>
            <w:noProof/>
            <w:webHidden/>
          </w:rPr>
        </w:r>
        <w:r w:rsidR="00CB796C">
          <w:rPr>
            <w:noProof/>
            <w:webHidden/>
          </w:rPr>
          <w:fldChar w:fldCharType="separate"/>
        </w:r>
        <w:r w:rsidR="009034E1">
          <w:rPr>
            <w:noProof/>
            <w:webHidden/>
          </w:rPr>
          <w:t>57</w:t>
        </w:r>
        <w:r w:rsidR="00CB796C">
          <w:rPr>
            <w:noProof/>
            <w:webHidden/>
          </w:rPr>
          <w:fldChar w:fldCharType="end"/>
        </w:r>
      </w:hyperlink>
    </w:p>
    <w:p w14:paraId="1DE49B2C" w14:textId="1648DC27" w:rsidR="00CB796C" w:rsidRDefault="00483C76">
      <w:pPr>
        <w:pStyle w:val="Verzeichnis6"/>
        <w:tabs>
          <w:tab w:val="left" w:pos="1440"/>
          <w:tab w:val="right" w:pos="9016"/>
        </w:tabs>
        <w:rPr>
          <w:rFonts w:eastAsiaTheme="minorEastAsia" w:cstheme="minorBidi"/>
          <w:noProof/>
          <w:sz w:val="22"/>
          <w:szCs w:val="22"/>
          <w:lang w:val="de-DE" w:eastAsia="de-DE"/>
        </w:rPr>
      </w:pPr>
      <w:hyperlink w:anchor="_Toc170228527" w:history="1">
        <w:r w:rsidR="00CB796C" w:rsidRPr="00474D11">
          <w:rPr>
            <w:rStyle w:val="Hyperlink"/>
            <w:noProof/>
            <w:lang w:val="en-GB"/>
          </w:rPr>
          <w:t>(i)</w:t>
        </w:r>
        <w:r w:rsidR="00CB796C">
          <w:rPr>
            <w:rFonts w:eastAsiaTheme="minorEastAsia" w:cstheme="minorBidi"/>
            <w:noProof/>
            <w:sz w:val="22"/>
            <w:szCs w:val="22"/>
            <w:lang w:val="de-DE" w:eastAsia="de-DE"/>
          </w:rPr>
          <w:tab/>
        </w:r>
        <w:r w:rsidR="00CB796C" w:rsidRPr="00474D11">
          <w:rPr>
            <w:rStyle w:val="Hyperlink"/>
            <w:noProof/>
            <w:lang w:val="en-GB"/>
          </w:rPr>
          <w:t>detention on remand possible but not ordered</w:t>
        </w:r>
        <w:r w:rsidR="00CB796C">
          <w:rPr>
            <w:noProof/>
            <w:webHidden/>
          </w:rPr>
          <w:tab/>
        </w:r>
        <w:r w:rsidR="00CB796C">
          <w:rPr>
            <w:noProof/>
            <w:webHidden/>
          </w:rPr>
          <w:fldChar w:fldCharType="begin"/>
        </w:r>
        <w:r w:rsidR="00CB796C">
          <w:rPr>
            <w:noProof/>
            <w:webHidden/>
          </w:rPr>
          <w:instrText xml:space="preserve"> PAGEREF _Toc170228527 \h </w:instrText>
        </w:r>
        <w:r w:rsidR="00CB796C">
          <w:rPr>
            <w:noProof/>
            <w:webHidden/>
          </w:rPr>
        </w:r>
        <w:r w:rsidR="00CB796C">
          <w:rPr>
            <w:noProof/>
            <w:webHidden/>
          </w:rPr>
          <w:fldChar w:fldCharType="separate"/>
        </w:r>
        <w:r w:rsidR="009034E1">
          <w:rPr>
            <w:noProof/>
            <w:webHidden/>
          </w:rPr>
          <w:t>57</w:t>
        </w:r>
        <w:r w:rsidR="00CB796C">
          <w:rPr>
            <w:noProof/>
            <w:webHidden/>
          </w:rPr>
          <w:fldChar w:fldCharType="end"/>
        </w:r>
      </w:hyperlink>
    </w:p>
    <w:p w14:paraId="6621B2CF" w14:textId="043277DF" w:rsidR="00CB796C" w:rsidRDefault="00483C76">
      <w:pPr>
        <w:pStyle w:val="Verzeichnis6"/>
        <w:tabs>
          <w:tab w:val="left" w:pos="1440"/>
          <w:tab w:val="right" w:pos="9016"/>
        </w:tabs>
        <w:rPr>
          <w:rFonts w:eastAsiaTheme="minorEastAsia" w:cstheme="minorBidi"/>
          <w:noProof/>
          <w:sz w:val="22"/>
          <w:szCs w:val="22"/>
          <w:lang w:val="de-DE" w:eastAsia="de-DE"/>
        </w:rPr>
      </w:pPr>
      <w:hyperlink w:anchor="_Toc170228528" w:history="1">
        <w:r w:rsidR="00CB796C" w:rsidRPr="00474D11">
          <w:rPr>
            <w:rStyle w:val="Hyperlink"/>
            <w:noProof/>
            <w:lang w:val="en-GB"/>
          </w:rPr>
          <w:t>(ii)</w:t>
        </w:r>
        <w:r w:rsidR="00CB796C">
          <w:rPr>
            <w:rFonts w:eastAsiaTheme="minorEastAsia" w:cstheme="minorBidi"/>
            <w:noProof/>
            <w:sz w:val="22"/>
            <w:szCs w:val="22"/>
            <w:lang w:val="de-DE" w:eastAsia="de-DE"/>
          </w:rPr>
          <w:tab/>
        </w:r>
        <w:r w:rsidR="00CB796C" w:rsidRPr="00474D11">
          <w:rPr>
            <w:rStyle w:val="Hyperlink"/>
            <w:noProof/>
            <w:lang w:val="en-GB"/>
          </w:rPr>
          <w:t>person concerned in detention on remand</w:t>
        </w:r>
        <w:r w:rsidR="00CB796C">
          <w:rPr>
            <w:noProof/>
            <w:webHidden/>
          </w:rPr>
          <w:tab/>
        </w:r>
        <w:r w:rsidR="00CB796C">
          <w:rPr>
            <w:noProof/>
            <w:webHidden/>
          </w:rPr>
          <w:fldChar w:fldCharType="begin"/>
        </w:r>
        <w:r w:rsidR="00CB796C">
          <w:rPr>
            <w:noProof/>
            <w:webHidden/>
          </w:rPr>
          <w:instrText xml:space="preserve"> PAGEREF _Toc170228528 \h </w:instrText>
        </w:r>
        <w:r w:rsidR="00CB796C">
          <w:rPr>
            <w:noProof/>
            <w:webHidden/>
          </w:rPr>
        </w:r>
        <w:r w:rsidR="00CB796C">
          <w:rPr>
            <w:noProof/>
            <w:webHidden/>
          </w:rPr>
          <w:fldChar w:fldCharType="separate"/>
        </w:r>
        <w:r w:rsidR="009034E1">
          <w:rPr>
            <w:noProof/>
            <w:webHidden/>
          </w:rPr>
          <w:t>57</w:t>
        </w:r>
        <w:r w:rsidR="00CB796C">
          <w:rPr>
            <w:noProof/>
            <w:webHidden/>
          </w:rPr>
          <w:fldChar w:fldCharType="end"/>
        </w:r>
      </w:hyperlink>
    </w:p>
    <w:p w14:paraId="35D5A882" w14:textId="1F2D663A" w:rsidR="00CB796C" w:rsidRDefault="00483C76">
      <w:pPr>
        <w:pStyle w:val="Verzeichnis5"/>
        <w:tabs>
          <w:tab w:val="left" w:pos="1200"/>
          <w:tab w:val="right" w:pos="9016"/>
        </w:tabs>
        <w:rPr>
          <w:rFonts w:eastAsiaTheme="minorEastAsia" w:cstheme="minorBidi"/>
          <w:noProof/>
          <w:sz w:val="22"/>
          <w:szCs w:val="22"/>
          <w:lang w:val="de-DE" w:eastAsia="de-DE"/>
        </w:rPr>
      </w:pPr>
      <w:hyperlink w:anchor="_Toc170228529" w:history="1">
        <w:r w:rsidR="00CB796C" w:rsidRPr="00474D11">
          <w:rPr>
            <w:rStyle w:val="Hyperlink"/>
            <w:noProof/>
            <w:lang w:val="en-GB"/>
          </w:rPr>
          <w:t>(b)</w:t>
        </w:r>
        <w:r w:rsidR="00CB796C">
          <w:rPr>
            <w:rFonts w:eastAsiaTheme="minorEastAsia" w:cstheme="minorBidi"/>
            <w:noProof/>
            <w:sz w:val="22"/>
            <w:szCs w:val="22"/>
            <w:lang w:val="de-DE" w:eastAsia="de-DE"/>
          </w:rPr>
          <w:tab/>
        </w:r>
        <w:r w:rsidR="00CB796C" w:rsidRPr="00474D11">
          <w:rPr>
            <w:rStyle w:val="Hyperlink"/>
            <w:noProof/>
            <w:lang w:val="en-GB"/>
          </w:rPr>
          <w:t>Person concerned is present in another MS</w:t>
        </w:r>
        <w:r w:rsidR="00CB796C">
          <w:rPr>
            <w:noProof/>
            <w:webHidden/>
          </w:rPr>
          <w:tab/>
        </w:r>
        <w:r w:rsidR="00CB796C">
          <w:rPr>
            <w:noProof/>
            <w:webHidden/>
          </w:rPr>
          <w:fldChar w:fldCharType="begin"/>
        </w:r>
        <w:r w:rsidR="00CB796C">
          <w:rPr>
            <w:noProof/>
            <w:webHidden/>
          </w:rPr>
          <w:instrText xml:space="preserve"> PAGEREF _Toc170228529 \h </w:instrText>
        </w:r>
        <w:r w:rsidR="00CB796C">
          <w:rPr>
            <w:noProof/>
            <w:webHidden/>
          </w:rPr>
        </w:r>
        <w:r w:rsidR="00CB796C">
          <w:rPr>
            <w:noProof/>
            <w:webHidden/>
          </w:rPr>
          <w:fldChar w:fldCharType="separate"/>
        </w:r>
        <w:r w:rsidR="009034E1">
          <w:rPr>
            <w:noProof/>
            <w:webHidden/>
          </w:rPr>
          <w:t>57</w:t>
        </w:r>
        <w:r w:rsidR="00CB796C">
          <w:rPr>
            <w:noProof/>
            <w:webHidden/>
          </w:rPr>
          <w:fldChar w:fldCharType="end"/>
        </w:r>
      </w:hyperlink>
    </w:p>
    <w:p w14:paraId="60AE5FFC" w14:textId="2BB78C19" w:rsidR="00CB796C" w:rsidRDefault="00483C76">
      <w:pPr>
        <w:pStyle w:val="Verzeichnis6"/>
        <w:tabs>
          <w:tab w:val="left" w:pos="1440"/>
          <w:tab w:val="right" w:pos="9016"/>
        </w:tabs>
        <w:rPr>
          <w:rFonts w:eastAsiaTheme="minorEastAsia" w:cstheme="minorBidi"/>
          <w:noProof/>
          <w:sz w:val="22"/>
          <w:szCs w:val="22"/>
          <w:lang w:val="de-DE" w:eastAsia="de-DE"/>
        </w:rPr>
      </w:pPr>
      <w:hyperlink w:anchor="_Toc170228530" w:history="1">
        <w:r w:rsidR="00CB796C" w:rsidRPr="00474D11">
          <w:rPr>
            <w:rStyle w:val="Hyperlink"/>
            <w:noProof/>
            <w:lang w:val="en-GB"/>
          </w:rPr>
          <w:t>(i)</w:t>
        </w:r>
        <w:r w:rsidR="00CB796C">
          <w:rPr>
            <w:rFonts w:eastAsiaTheme="minorEastAsia" w:cstheme="minorBidi"/>
            <w:noProof/>
            <w:sz w:val="22"/>
            <w:szCs w:val="22"/>
            <w:lang w:val="de-DE" w:eastAsia="de-DE"/>
          </w:rPr>
          <w:tab/>
        </w:r>
        <w:r w:rsidR="00CB796C" w:rsidRPr="00474D11">
          <w:rPr>
            <w:rStyle w:val="Hyperlink"/>
            <w:noProof/>
            <w:lang w:val="en-GB"/>
          </w:rPr>
          <w:t>detention on remand possible but not ordered</w:t>
        </w:r>
        <w:r w:rsidR="00CB796C">
          <w:rPr>
            <w:noProof/>
            <w:webHidden/>
          </w:rPr>
          <w:tab/>
        </w:r>
        <w:r w:rsidR="00CB796C">
          <w:rPr>
            <w:noProof/>
            <w:webHidden/>
          </w:rPr>
          <w:fldChar w:fldCharType="begin"/>
        </w:r>
        <w:r w:rsidR="00CB796C">
          <w:rPr>
            <w:noProof/>
            <w:webHidden/>
          </w:rPr>
          <w:instrText xml:space="preserve"> PAGEREF _Toc170228530 \h </w:instrText>
        </w:r>
        <w:r w:rsidR="00CB796C">
          <w:rPr>
            <w:noProof/>
            <w:webHidden/>
          </w:rPr>
        </w:r>
        <w:r w:rsidR="00CB796C">
          <w:rPr>
            <w:noProof/>
            <w:webHidden/>
          </w:rPr>
          <w:fldChar w:fldCharType="separate"/>
        </w:r>
        <w:r w:rsidR="009034E1">
          <w:rPr>
            <w:noProof/>
            <w:webHidden/>
          </w:rPr>
          <w:t>57</w:t>
        </w:r>
        <w:r w:rsidR="00CB796C">
          <w:rPr>
            <w:noProof/>
            <w:webHidden/>
          </w:rPr>
          <w:fldChar w:fldCharType="end"/>
        </w:r>
      </w:hyperlink>
    </w:p>
    <w:p w14:paraId="1CA541CE" w14:textId="3B866A6F" w:rsidR="00CB796C" w:rsidRDefault="00483C76">
      <w:pPr>
        <w:pStyle w:val="Verzeichnis6"/>
        <w:tabs>
          <w:tab w:val="left" w:pos="1440"/>
          <w:tab w:val="right" w:pos="9016"/>
        </w:tabs>
        <w:rPr>
          <w:rFonts w:eastAsiaTheme="minorEastAsia" w:cstheme="minorBidi"/>
          <w:noProof/>
          <w:sz w:val="22"/>
          <w:szCs w:val="22"/>
          <w:lang w:val="de-DE" w:eastAsia="de-DE"/>
        </w:rPr>
      </w:pPr>
      <w:hyperlink w:anchor="_Toc170228531" w:history="1">
        <w:r w:rsidR="00CB796C" w:rsidRPr="00474D11">
          <w:rPr>
            <w:rStyle w:val="Hyperlink"/>
            <w:noProof/>
            <w:lang w:val="en-GB"/>
          </w:rPr>
          <w:t>(ii)</w:t>
        </w:r>
        <w:r w:rsidR="00CB796C">
          <w:rPr>
            <w:rFonts w:eastAsiaTheme="minorEastAsia" w:cstheme="minorBidi"/>
            <w:noProof/>
            <w:sz w:val="22"/>
            <w:szCs w:val="22"/>
            <w:lang w:val="de-DE" w:eastAsia="de-DE"/>
          </w:rPr>
          <w:tab/>
        </w:r>
        <w:r w:rsidR="00CB796C" w:rsidRPr="00474D11">
          <w:rPr>
            <w:rStyle w:val="Hyperlink"/>
            <w:noProof/>
            <w:lang w:val="en-GB"/>
          </w:rPr>
          <w:t>detention on remand ordered</w:t>
        </w:r>
        <w:r w:rsidR="00CB796C">
          <w:rPr>
            <w:noProof/>
            <w:webHidden/>
          </w:rPr>
          <w:tab/>
        </w:r>
        <w:r w:rsidR="00CB796C">
          <w:rPr>
            <w:noProof/>
            <w:webHidden/>
          </w:rPr>
          <w:fldChar w:fldCharType="begin"/>
        </w:r>
        <w:r w:rsidR="00CB796C">
          <w:rPr>
            <w:noProof/>
            <w:webHidden/>
          </w:rPr>
          <w:instrText xml:space="preserve"> PAGEREF _Toc170228531 \h </w:instrText>
        </w:r>
        <w:r w:rsidR="00CB796C">
          <w:rPr>
            <w:noProof/>
            <w:webHidden/>
          </w:rPr>
        </w:r>
        <w:r w:rsidR="00CB796C">
          <w:rPr>
            <w:noProof/>
            <w:webHidden/>
          </w:rPr>
          <w:fldChar w:fldCharType="separate"/>
        </w:r>
        <w:r w:rsidR="009034E1">
          <w:rPr>
            <w:noProof/>
            <w:webHidden/>
          </w:rPr>
          <w:t>63</w:t>
        </w:r>
        <w:r w:rsidR="00CB796C">
          <w:rPr>
            <w:noProof/>
            <w:webHidden/>
          </w:rPr>
          <w:fldChar w:fldCharType="end"/>
        </w:r>
      </w:hyperlink>
    </w:p>
    <w:p w14:paraId="0ADA4DF6" w14:textId="2EADE583" w:rsidR="00CB796C" w:rsidRDefault="00483C76">
      <w:pPr>
        <w:pStyle w:val="Verzeichnis1"/>
        <w:tabs>
          <w:tab w:val="left" w:pos="480"/>
          <w:tab w:val="right" w:pos="9016"/>
        </w:tabs>
        <w:rPr>
          <w:rFonts w:asciiTheme="minorHAnsi" w:eastAsiaTheme="minorEastAsia" w:hAnsiTheme="minorHAnsi" w:cstheme="minorBidi"/>
          <w:b w:val="0"/>
          <w:bCs w:val="0"/>
          <w:caps w:val="0"/>
          <w:noProof/>
          <w:sz w:val="22"/>
          <w:szCs w:val="22"/>
          <w:lang w:val="de-DE" w:eastAsia="de-DE"/>
        </w:rPr>
      </w:pPr>
      <w:hyperlink w:anchor="_Toc170228532" w:history="1">
        <w:r w:rsidR="00CB796C" w:rsidRPr="00474D11">
          <w:rPr>
            <w:rStyle w:val="Hyperlink"/>
            <w:noProof/>
            <w:lang w:val="en-GB"/>
          </w:rPr>
          <w:t>3.</w:t>
        </w:r>
        <w:r w:rsidR="00CB796C">
          <w:rPr>
            <w:rFonts w:asciiTheme="minorHAnsi" w:eastAsiaTheme="minorEastAsia" w:hAnsiTheme="minorHAnsi" w:cstheme="minorBidi"/>
            <w:b w:val="0"/>
            <w:bCs w:val="0"/>
            <w:caps w:val="0"/>
            <w:noProof/>
            <w:sz w:val="22"/>
            <w:szCs w:val="22"/>
            <w:lang w:val="de-DE" w:eastAsia="de-DE"/>
          </w:rPr>
          <w:tab/>
        </w:r>
        <w:r w:rsidR="00CB796C" w:rsidRPr="00474D11">
          <w:rPr>
            <w:rStyle w:val="Hyperlink"/>
            <w:noProof/>
            <w:lang w:val="en-GB"/>
          </w:rPr>
          <w:t>The instruments and sentence enforcement</w:t>
        </w:r>
        <w:r w:rsidR="00CB796C">
          <w:rPr>
            <w:noProof/>
            <w:webHidden/>
          </w:rPr>
          <w:tab/>
        </w:r>
        <w:r w:rsidR="00CB796C">
          <w:rPr>
            <w:noProof/>
            <w:webHidden/>
          </w:rPr>
          <w:fldChar w:fldCharType="begin"/>
        </w:r>
        <w:r w:rsidR="00CB796C">
          <w:rPr>
            <w:noProof/>
            <w:webHidden/>
          </w:rPr>
          <w:instrText xml:space="preserve"> PAGEREF _Toc170228532 \h </w:instrText>
        </w:r>
        <w:r w:rsidR="00CB796C">
          <w:rPr>
            <w:noProof/>
            <w:webHidden/>
          </w:rPr>
        </w:r>
        <w:r w:rsidR="00CB796C">
          <w:rPr>
            <w:noProof/>
            <w:webHidden/>
          </w:rPr>
          <w:fldChar w:fldCharType="separate"/>
        </w:r>
        <w:r w:rsidR="009034E1">
          <w:rPr>
            <w:noProof/>
            <w:webHidden/>
          </w:rPr>
          <w:t>69</w:t>
        </w:r>
        <w:r w:rsidR="00CB796C">
          <w:rPr>
            <w:noProof/>
            <w:webHidden/>
          </w:rPr>
          <w:fldChar w:fldCharType="end"/>
        </w:r>
      </w:hyperlink>
    </w:p>
    <w:p w14:paraId="73ED8CD6" w14:textId="604AAD7A" w:rsidR="00CB796C" w:rsidRDefault="00483C76">
      <w:pPr>
        <w:pStyle w:val="Verzeichnis2"/>
        <w:tabs>
          <w:tab w:val="left" w:pos="720"/>
          <w:tab w:val="right" w:pos="9016"/>
        </w:tabs>
        <w:rPr>
          <w:rFonts w:eastAsiaTheme="minorEastAsia" w:cstheme="minorBidi"/>
          <w:b w:val="0"/>
          <w:bCs w:val="0"/>
          <w:noProof/>
          <w:sz w:val="22"/>
          <w:szCs w:val="22"/>
          <w:lang w:val="de-DE" w:eastAsia="de-DE"/>
        </w:rPr>
      </w:pPr>
      <w:hyperlink w:anchor="_Toc170228533" w:history="1">
        <w:r w:rsidR="00CB796C" w:rsidRPr="00474D11">
          <w:rPr>
            <w:rStyle w:val="Hyperlink"/>
            <w:noProof/>
            <w:lang w:val="en-GB"/>
          </w:rPr>
          <w:t>3.1.</w:t>
        </w:r>
        <w:r w:rsidR="00CB796C">
          <w:rPr>
            <w:rFonts w:eastAsiaTheme="minorEastAsia" w:cstheme="minorBidi"/>
            <w:b w:val="0"/>
            <w:bCs w:val="0"/>
            <w:noProof/>
            <w:sz w:val="22"/>
            <w:szCs w:val="22"/>
            <w:lang w:val="de-DE" w:eastAsia="de-DE"/>
          </w:rPr>
          <w:tab/>
        </w:r>
        <w:r w:rsidR="00CB796C" w:rsidRPr="00474D11">
          <w:rPr>
            <w:rStyle w:val="Hyperlink"/>
            <w:noProof/>
            <w:lang w:val="en-GB"/>
          </w:rPr>
          <w:t>Applicability of the instruments or conventions according to EU law</w:t>
        </w:r>
        <w:r w:rsidR="00CB796C">
          <w:rPr>
            <w:noProof/>
            <w:webHidden/>
          </w:rPr>
          <w:tab/>
        </w:r>
        <w:r w:rsidR="00CB796C">
          <w:rPr>
            <w:noProof/>
            <w:webHidden/>
          </w:rPr>
          <w:fldChar w:fldCharType="begin"/>
        </w:r>
        <w:r w:rsidR="00CB796C">
          <w:rPr>
            <w:noProof/>
            <w:webHidden/>
          </w:rPr>
          <w:instrText xml:space="preserve"> PAGEREF _Toc170228533 \h </w:instrText>
        </w:r>
        <w:r w:rsidR="00CB796C">
          <w:rPr>
            <w:noProof/>
            <w:webHidden/>
          </w:rPr>
        </w:r>
        <w:r w:rsidR="00CB796C">
          <w:rPr>
            <w:noProof/>
            <w:webHidden/>
          </w:rPr>
          <w:fldChar w:fldCharType="separate"/>
        </w:r>
        <w:r w:rsidR="009034E1">
          <w:rPr>
            <w:noProof/>
            <w:webHidden/>
          </w:rPr>
          <w:t>72</w:t>
        </w:r>
        <w:r w:rsidR="00CB796C">
          <w:rPr>
            <w:noProof/>
            <w:webHidden/>
          </w:rPr>
          <w:fldChar w:fldCharType="end"/>
        </w:r>
      </w:hyperlink>
    </w:p>
    <w:p w14:paraId="7B40EFF7" w14:textId="2BEE07D3" w:rsidR="00CB796C" w:rsidRDefault="00483C76">
      <w:pPr>
        <w:pStyle w:val="Verzeichnis5"/>
        <w:tabs>
          <w:tab w:val="left" w:pos="1200"/>
          <w:tab w:val="right" w:pos="9016"/>
        </w:tabs>
        <w:rPr>
          <w:rFonts w:eastAsiaTheme="minorEastAsia" w:cstheme="minorBidi"/>
          <w:noProof/>
          <w:sz w:val="22"/>
          <w:szCs w:val="22"/>
          <w:lang w:val="de-DE" w:eastAsia="de-DE"/>
        </w:rPr>
      </w:pPr>
      <w:hyperlink w:anchor="_Toc170228534" w:history="1">
        <w:r w:rsidR="00CB796C" w:rsidRPr="00474D11">
          <w:rPr>
            <w:rStyle w:val="Hyperlink"/>
            <w:noProof/>
            <w:lang w:val="en-GB"/>
          </w:rPr>
          <w:t>(a)</w:t>
        </w:r>
        <w:r w:rsidR="00CB796C">
          <w:rPr>
            <w:rFonts w:eastAsiaTheme="minorEastAsia" w:cstheme="minorBidi"/>
            <w:noProof/>
            <w:sz w:val="22"/>
            <w:szCs w:val="22"/>
            <w:lang w:val="de-DE" w:eastAsia="de-DE"/>
          </w:rPr>
          <w:tab/>
        </w:r>
        <w:r w:rsidR="00CB796C" w:rsidRPr="00474D11">
          <w:rPr>
            <w:rStyle w:val="Hyperlink"/>
            <w:noProof/>
            <w:lang w:val="en-GB"/>
          </w:rPr>
          <w:t>Person concerned is present in issuing MS</w:t>
        </w:r>
        <w:r w:rsidR="00CB796C">
          <w:rPr>
            <w:noProof/>
            <w:webHidden/>
          </w:rPr>
          <w:tab/>
        </w:r>
        <w:r w:rsidR="00CB796C">
          <w:rPr>
            <w:noProof/>
            <w:webHidden/>
          </w:rPr>
          <w:fldChar w:fldCharType="begin"/>
        </w:r>
        <w:r w:rsidR="00CB796C">
          <w:rPr>
            <w:noProof/>
            <w:webHidden/>
          </w:rPr>
          <w:instrText xml:space="preserve"> PAGEREF _Toc170228534 \h </w:instrText>
        </w:r>
        <w:r w:rsidR="00CB796C">
          <w:rPr>
            <w:noProof/>
            <w:webHidden/>
          </w:rPr>
        </w:r>
        <w:r w:rsidR="00CB796C">
          <w:rPr>
            <w:noProof/>
            <w:webHidden/>
          </w:rPr>
          <w:fldChar w:fldCharType="separate"/>
        </w:r>
        <w:r w:rsidR="009034E1">
          <w:rPr>
            <w:noProof/>
            <w:webHidden/>
          </w:rPr>
          <w:t>72</w:t>
        </w:r>
        <w:r w:rsidR="00CB796C">
          <w:rPr>
            <w:noProof/>
            <w:webHidden/>
          </w:rPr>
          <w:fldChar w:fldCharType="end"/>
        </w:r>
      </w:hyperlink>
    </w:p>
    <w:p w14:paraId="0542CB3F" w14:textId="65AEEFB5" w:rsidR="00CB796C" w:rsidRDefault="00483C76">
      <w:pPr>
        <w:pStyle w:val="Verzeichnis5"/>
        <w:tabs>
          <w:tab w:val="left" w:pos="1200"/>
          <w:tab w:val="right" w:pos="9016"/>
        </w:tabs>
        <w:rPr>
          <w:rFonts w:eastAsiaTheme="minorEastAsia" w:cstheme="minorBidi"/>
          <w:noProof/>
          <w:sz w:val="22"/>
          <w:szCs w:val="22"/>
          <w:lang w:val="de-DE" w:eastAsia="de-DE"/>
        </w:rPr>
      </w:pPr>
      <w:hyperlink w:anchor="_Toc170228535" w:history="1">
        <w:r w:rsidR="00CB796C" w:rsidRPr="00474D11">
          <w:rPr>
            <w:rStyle w:val="Hyperlink"/>
            <w:noProof/>
            <w:lang w:val="en-GB"/>
          </w:rPr>
          <w:t>(b)</w:t>
        </w:r>
        <w:r w:rsidR="00CB796C">
          <w:rPr>
            <w:rFonts w:eastAsiaTheme="minorEastAsia" w:cstheme="minorBidi"/>
            <w:noProof/>
            <w:sz w:val="22"/>
            <w:szCs w:val="22"/>
            <w:lang w:val="de-DE" w:eastAsia="de-DE"/>
          </w:rPr>
          <w:tab/>
        </w:r>
        <w:r w:rsidR="00CB796C" w:rsidRPr="00474D11">
          <w:rPr>
            <w:rStyle w:val="Hyperlink"/>
            <w:noProof/>
            <w:lang w:val="en-GB"/>
          </w:rPr>
          <w:t>Person concerned is present in another MS</w:t>
        </w:r>
        <w:r w:rsidR="00CB796C">
          <w:rPr>
            <w:noProof/>
            <w:webHidden/>
          </w:rPr>
          <w:tab/>
        </w:r>
        <w:r w:rsidR="00CB796C">
          <w:rPr>
            <w:noProof/>
            <w:webHidden/>
          </w:rPr>
          <w:fldChar w:fldCharType="begin"/>
        </w:r>
        <w:r w:rsidR="00CB796C">
          <w:rPr>
            <w:noProof/>
            <w:webHidden/>
          </w:rPr>
          <w:instrText xml:space="preserve"> PAGEREF _Toc170228535 \h </w:instrText>
        </w:r>
        <w:r w:rsidR="00CB796C">
          <w:rPr>
            <w:noProof/>
            <w:webHidden/>
          </w:rPr>
        </w:r>
        <w:r w:rsidR="00CB796C">
          <w:rPr>
            <w:noProof/>
            <w:webHidden/>
          </w:rPr>
          <w:fldChar w:fldCharType="separate"/>
        </w:r>
        <w:r w:rsidR="009034E1">
          <w:rPr>
            <w:noProof/>
            <w:webHidden/>
          </w:rPr>
          <w:t>74</w:t>
        </w:r>
        <w:r w:rsidR="00CB796C">
          <w:rPr>
            <w:noProof/>
            <w:webHidden/>
          </w:rPr>
          <w:fldChar w:fldCharType="end"/>
        </w:r>
      </w:hyperlink>
    </w:p>
    <w:p w14:paraId="6E7BF4BE" w14:textId="032EEC97" w:rsidR="00CB796C" w:rsidRDefault="00483C76">
      <w:pPr>
        <w:pStyle w:val="Verzeichnis2"/>
        <w:tabs>
          <w:tab w:val="left" w:pos="720"/>
          <w:tab w:val="right" w:pos="9016"/>
        </w:tabs>
        <w:rPr>
          <w:rFonts w:eastAsiaTheme="minorEastAsia" w:cstheme="minorBidi"/>
          <w:b w:val="0"/>
          <w:bCs w:val="0"/>
          <w:noProof/>
          <w:sz w:val="22"/>
          <w:szCs w:val="22"/>
          <w:lang w:val="de-DE" w:eastAsia="de-DE"/>
        </w:rPr>
      </w:pPr>
      <w:hyperlink w:anchor="_Toc170228536" w:history="1">
        <w:r w:rsidR="00CB796C" w:rsidRPr="00474D11">
          <w:rPr>
            <w:rStyle w:val="Hyperlink"/>
            <w:noProof/>
            <w:lang w:val="en-GB"/>
          </w:rPr>
          <w:t>3.2.</w:t>
        </w:r>
        <w:r w:rsidR="00CB796C">
          <w:rPr>
            <w:rFonts w:eastAsiaTheme="minorEastAsia" w:cstheme="minorBidi"/>
            <w:b w:val="0"/>
            <w:bCs w:val="0"/>
            <w:noProof/>
            <w:sz w:val="22"/>
            <w:szCs w:val="22"/>
            <w:lang w:val="de-DE" w:eastAsia="de-DE"/>
          </w:rPr>
          <w:tab/>
        </w:r>
        <w:r w:rsidR="00CB796C" w:rsidRPr="00474D11">
          <w:rPr>
            <w:rStyle w:val="Hyperlink"/>
            <w:noProof/>
            <w:lang w:val="en-GB"/>
          </w:rPr>
          <w:t>Applicability and application of the instruments and conventions according to national law</w:t>
        </w:r>
        <w:r w:rsidR="00CB796C">
          <w:rPr>
            <w:noProof/>
            <w:webHidden/>
          </w:rPr>
          <w:tab/>
        </w:r>
        <w:r w:rsidR="00CB796C">
          <w:rPr>
            <w:noProof/>
            <w:webHidden/>
          </w:rPr>
          <w:fldChar w:fldCharType="begin"/>
        </w:r>
        <w:r w:rsidR="00CB796C">
          <w:rPr>
            <w:noProof/>
            <w:webHidden/>
          </w:rPr>
          <w:instrText xml:space="preserve"> PAGEREF _Toc170228536 \h </w:instrText>
        </w:r>
        <w:r w:rsidR="00CB796C">
          <w:rPr>
            <w:noProof/>
            <w:webHidden/>
          </w:rPr>
        </w:r>
        <w:r w:rsidR="00CB796C">
          <w:rPr>
            <w:noProof/>
            <w:webHidden/>
          </w:rPr>
          <w:fldChar w:fldCharType="separate"/>
        </w:r>
        <w:r w:rsidR="009034E1">
          <w:rPr>
            <w:noProof/>
            <w:webHidden/>
          </w:rPr>
          <w:t>75</w:t>
        </w:r>
        <w:r w:rsidR="00CB796C">
          <w:rPr>
            <w:noProof/>
            <w:webHidden/>
          </w:rPr>
          <w:fldChar w:fldCharType="end"/>
        </w:r>
      </w:hyperlink>
    </w:p>
    <w:p w14:paraId="24691A75" w14:textId="3A371DAB" w:rsidR="00CB796C" w:rsidRDefault="00483C76">
      <w:pPr>
        <w:pStyle w:val="Verzeichnis5"/>
        <w:tabs>
          <w:tab w:val="left" w:pos="1200"/>
          <w:tab w:val="right" w:pos="9016"/>
        </w:tabs>
        <w:rPr>
          <w:rFonts w:eastAsiaTheme="minorEastAsia" w:cstheme="minorBidi"/>
          <w:noProof/>
          <w:sz w:val="22"/>
          <w:szCs w:val="22"/>
          <w:lang w:val="de-DE" w:eastAsia="de-DE"/>
        </w:rPr>
      </w:pPr>
      <w:hyperlink w:anchor="_Toc170228537" w:history="1">
        <w:r w:rsidR="00CB796C" w:rsidRPr="00474D11">
          <w:rPr>
            <w:rStyle w:val="Hyperlink"/>
            <w:noProof/>
            <w:lang w:val="en-GB"/>
          </w:rPr>
          <w:t>(a)</w:t>
        </w:r>
        <w:r w:rsidR="00CB796C">
          <w:rPr>
            <w:rFonts w:eastAsiaTheme="minorEastAsia" w:cstheme="minorBidi"/>
            <w:noProof/>
            <w:sz w:val="22"/>
            <w:szCs w:val="22"/>
            <w:lang w:val="de-DE" w:eastAsia="de-DE"/>
          </w:rPr>
          <w:tab/>
        </w:r>
        <w:r w:rsidR="00CB796C" w:rsidRPr="00474D11">
          <w:rPr>
            <w:rStyle w:val="Hyperlink"/>
            <w:noProof/>
            <w:lang w:val="en-GB"/>
          </w:rPr>
          <w:t>Person concerned is present in issuing MS</w:t>
        </w:r>
        <w:r w:rsidR="00CB796C">
          <w:rPr>
            <w:noProof/>
            <w:webHidden/>
          </w:rPr>
          <w:tab/>
        </w:r>
        <w:r w:rsidR="00CB796C">
          <w:rPr>
            <w:noProof/>
            <w:webHidden/>
          </w:rPr>
          <w:fldChar w:fldCharType="begin"/>
        </w:r>
        <w:r w:rsidR="00CB796C">
          <w:rPr>
            <w:noProof/>
            <w:webHidden/>
          </w:rPr>
          <w:instrText xml:space="preserve"> PAGEREF _Toc170228537 \h </w:instrText>
        </w:r>
        <w:r w:rsidR="00CB796C">
          <w:rPr>
            <w:noProof/>
            <w:webHidden/>
          </w:rPr>
        </w:r>
        <w:r w:rsidR="00CB796C">
          <w:rPr>
            <w:noProof/>
            <w:webHidden/>
          </w:rPr>
          <w:fldChar w:fldCharType="separate"/>
        </w:r>
        <w:r w:rsidR="009034E1">
          <w:rPr>
            <w:noProof/>
            <w:webHidden/>
          </w:rPr>
          <w:t>75</w:t>
        </w:r>
        <w:r w:rsidR="00CB796C">
          <w:rPr>
            <w:noProof/>
            <w:webHidden/>
          </w:rPr>
          <w:fldChar w:fldCharType="end"/>
        </w:r>
      </w:hyperlink>
    </w:p>
    <w:p w14:paraId="6F28B0AD" w14:textId="6F7A0788" w:rsidR="00CB796C" w:rsidRDefault="00483C76">
      <w:pPr>
        <w:pStyle w:val="Verzeichnis5"/>
        <w:tabs>
          <w:tab w:val="left" w:pos="1200"/>
          <w:tab w:val="right" w:pos="9016"/>
        </w:tabs>
        <w:rPr>
          <w:rFonts w:eastAsiaTheme="minorEastAsia" w:cstheme="minorBidi"/>
          <w:noProof/>
          <w:sz w:val="22"/>
          <w:szCs w:val="22"/>
          <w:lang w:val="de-DE" w:eastAsia="de-DE"/>
        </w:rPr>
      </w:pPr>
      <w:hyperlink w:anchor="_Toc170228538" w:history="1">
        <w:r w:rsidR="00CB796C" w:rsidRPr="00474D11">
          <w:rPr>
            <w:rStyle w:val="Hyperlink"/>
            <w:noProof/>
            <w:lang w:val="en-GB"/>
          </w:rPr>
          <w:t>(b)</w:t>
        </w:r>
        <w:r w:rsidR="00CB796C">
          <w:rPr>
            <w:rFonts w:eastAsiaTheme="minorEastAsia" w:cstheme="minorBidi"/>
            <w:noProof/>
            <w:sz w:val="22"/>
            <w:szCs w:val="22"/>
            <w:lang w:val="de-DE" w:eastAsia="de-DE"/>
          </w:rPr>
          <w:tab/>
        </w:r>
        <w:r w:rsidR="00CB796C" w:rsidRPr="00474D11">
          <w:rPr>
            <w:rStyle w:val="Hyperlink"/>
            <w:noProof/>
            <w:lang w:val="en-GB"/>
          </w:rPr>
          <w:t>Person is present in another MS</w:t>
        </w:r>
        <w:r w:rsidR="00CB796C">
          <w:rPr>
            <w:noProof/>
            <w:webHidden/>
          </w:rPr>
          <w:tab/>
        </w:r>
        <w:r w:rsidR="00CB796C">
          <w:rPr>
            <w:noProof/>
            <w:webHidden/>
          </w:rPr>
          <w:fldChar w:fldCharType="begin"/>
        </w:r>
        <w:r w:rsidR="00CB796C">
          <w:rPr>
            <w:noProof/>
            <w:webHidden/>
          </w:rPr>
          <w:instrText xml:space="preserve"> PAGEREF _Toc170228538 \h </w:instrText>
        </w:r>
        <w:r w:rsidR="00CB796C">
          <w:rPr>
            <w:noProof/>
            <w:webHidden/>
          </w:rPr>
        </w:r>
        <w:r w:rsidR="00CB796C">
          <w:rPr>
            <w:noProof/>
            <w:webHidden/>
          </w:rPr>
          <w:fldChar w:fldCharType="separate"/>
        </w:r>
        <w:r w:rsidR="009034E1">
          <w:rPr>
            <w:noProof/>
            <w:webHidden/>
          </w:rPr>
          <w:t>80</w:t>
        </w:r>
        <w:r w:rsidR="00CB796C">
          <w:rPr>
            <w:noProof/>
            <w:webHidden/>
          </w:rPr>
          <w:fldChar w:fldCharType="end"/>
        </w:r>
      </w:hyperlink>
    </w:p>
    <w:p w14:paraId="070EC334" w14:textId="377FD827" w:rsidR="00CB796C" w:rsidRDefault="00483C76">
      <w:pPr>
        <w:pStyle w:val="Verzeichnis1"/>
        <w:tabs>
          <w:tab w:val="left" w:pos="480"/>
          <w:tab w:val="right" w:pos="9016"/>
        </w:tabs>
        <w:rPr>
          <w:rFonts w:asciiTheme="minorHAnsi" w:eastAsiaTheme="minorEastAsia" w:hAnsiTheme="minorHAnsi" w:cstheme="minorBidi"/>
          <w:b w:val="0"/>
          <w:bCs w:val="0"/>
          <w:caps w:val="0"/>
          <w:noProof/>
          <w:sz w:val="22"/>
          <w:szCs w:val="22"/>
          <w:lang w:val="de-DE" w:eastAsia="de-DE"/>
        </w:rPr>
      </w:pPr>
      <w:hyperlink w:anchor="_Toc170228539" w:history="1">
        <w:r w:rsidR="00CB796C" w:rsidRPr="00474D11">
          <w:rPr>
            <w:rStyle w:val="Hyperlink"/>
            <w:noProof/>
            <w:lang w:val="en-GB"/>
          </w:rPr>
          <w:t>4.</w:t>
        </w:r>
        <w:r w:rsidR="00CB796C">
          <w:rPr>
            <w:rFonts w:asciiTheme="minorHAnsi" w:eastAsiaTheme="minorEastAsia" w:hAnsiTheme="minorHAnsi" w:cstheme="minorBidi"/>
            <w:b w:val="0"/>
            <w:bCs w:val="0"/>
            <w:caps w:val="0"/>
            <w:noProof/>
            <w:sz w:val="22"/>
            <w:szCs w:val="22"/>
            <w:lang w:val="de-DE" w:eastAsia="de-DE"/>
          </w:rPr>
          <w:tab/>
        </w:r>
        <w:r w:rsidR="00CB796C" w:rsidRPr="00474D11">
          <w:rPr>
            <w:rStyle w:val="Hyperlink"/>
            <w:noProof/>
            <w:lang w:val="en-GB"/>
          </w:rPr>
          <w:t>Anticipating the application of instruments: sentencing</w:t>
        </w:r>
        <w:r w:rsidR="00CB796C">
          <w:rPr>
            <w:noProof/>
            <w:webHidden/>
          </w:rPr>
          <w:tab/>
        </w:r>
        <w:r w:rsidR="00CB796C">
          <w:rPr>
            <w:noProof/>
            <w:webHidden/>
          </w:rPr>
          <w:fldChar w:fldCharType="begin"/>
        </w:r>
        <w:r w:rsidR="00CB796C">
          <w:rPr>
            <w:noProof/>
            <w:webHidden/>
          </w:rPr>
          <w:instrText xml:space="preserve"> PAGEREF _Toc170228539 \h </w:instrText>
        </w:r>
        <w:r w:rsidR="00CB796C">
          <w:rPr>
            <w:noProof/>
            <w:webHidden/>
          </w:rPr>
        </w:r>
        <w:r w:rsidR="00CB796C">
          <w:rPr>
            <w:noProof/>
            <w:webHidden/>
          </w:rPr>
          <w:fldChar w:fldCharType="separate"/>
        </w:r>
        <w:r w:rsidR="009034E1">
          <w:rPr>
            <w:noProof/>
            <w:webHidden/>
          </w:rPr>
          <w:t>83</w:t>
        </w:r>
        <w:r w:rsidR="00CB796C">
          <w:rPr>
            <w:noProof/>
            <w:webHidden/>
          </w:rPr>
          <w:fldChar w:fldCharType="end"/>
        </w:r>
      </w:hyperlink>
    </w:p>
    <w:p w14:paraId="5C635A29" w14:textId="3E9431CD" w:rsidR="00CB796C" w:rsidRDefault="00483C76">
      <w:pPr>
        <w:pStyle w:val="Verzeichnis1"/>
        <w:tabs>
          <w:tab w:val="left" w:pos="480"/>
          <w:tab w:val="right" w:pos="9016"/>
        </w:tabs>
        <w:rPr>
          <w:rFonts w:asciiTheme="minorHAnsi" w:eastAsiaTheme="minorEastAsia" w:hAnsiTheme="minorHAnsi" w:cstheme="minorBidi"/>
          <w:b w:val="0"/>
          <w:bCs w:val="0"/>
          <w:caps w:val="0"/>
          <w:noProof/>
          <w:sz w:val="22"/>
          <w:szCs w:val="22"/>
          <w:lang w:val="de-DE" w:eastAsia="de-DE"/>
        </w:rPr>
      </w:pPr>
      <w:hyperlink w:anchor="_Toc170228540" w:history="1">
        <w:r w:rsidR="00CB796C" w:rsidRPr="00474D11">
          <w:rPr>
            <w:rStyle w:val="Hyperlink"/>
            <w:noProof/>
            <w:lang w:val="en-GB"/>
          </w:rPr>
          <w:t>5.</w:t>
        </w:r>
        <w:r w:rsidR="00CB796C">
          <w:rPr>
            <w:rFonts w:asciiTheme="minorHAnsi" w:eastAsiaTheme="minorEastAsia" w:hAnsiTheme="minorHAnsi" w:cstheme="minorBidi"/>
            <w:b w:val="0"/>
            <w:bCs w:val="0"/>
            <w:caps w:val="0"/>
            <w:noProof/>
            <w:sz w:val="22"/>
            <w:szCs w:val="22"/>
            <w:lang w:val="de-DE" w:eastAsia="de-DE"/>
          </w:rPr>
          <w:tab/>
        </w:r>
        <w:r w:rsidR="00CB796C" w:rsidRPr="00474D11">
          <w:rPr>
            <w:rStyle w:val="Hyperlink"/>
            <w:noProof/>
            <w:lang w:val="en-GB"/>
          </w:rPr>
          <w:t xml:space="preserve">Miscellaneous: whereabouts unknown and </w:t>
        </w:r>
        <w:r w:rsidR="00CB796C" w:rsidRPr="00474D11">
          <w:rPr>
            <w:rStyle w:val="Hyperlink"/>
            <w:i/>
            <w:iCs/>
            <w:noProof/>
            <w:lang w:val="en-GB"/>
          </w:rPr>
          <w:t>in absentia</w:t>
        </w:r>
        <w:r w:rsidR="00CB796C">
          <w:rPr>
            <w:noProof/>
            <w:webHidden/>
          </w:rPr>
          <w:tab/>
        </w:r>
        <w:r w:rsidR="00CB796C">
          <w:rPr>
            <w:noProof/>
            <w:webHidden/>
          </w:rPr>
          <w:fldChar w:fldCharType="begin"/>
        </w:r>
        <w:r w:rsidR="00CB796C">
          <w:rPr>
            <w:noProof/>
            <w:webHidden/>
          </w:rPr>
          <w:instrText xml:space="preserve"> PAGEREF _Toc170228540 \h </w:instrText>
        </w:r>
        <w:r w:rsidR="00CB796C">
          <w:rPr>
            <w:noProof/>
            <w:webHidden/>
          </w:rPr>
        </w:r>
        <w:r w:rsidR="00CB796C">
          <w:rPr>
            <w:noProof/>
            <w:webHidden/>
          </w:rPr>
          <w:fldChar w:fldCharType="separate"/>
        </w:r>
        <w:r w:rsidR="009034E1">
          <w:rPr>
            <w:noProof/>
            <w:webHidden/>
          </w:rPr>
          <w:t>86</w:t>
        </w:r>
        <w:r w:rsidR="00CB796C">
          <w:rPr>
            <w:noProof/>
            <w:webHidden/>
          </w:rPr>
          <w:fldChar w:fldCharType="end"/>
        </w:r>
      </w:hyperlink>
    </w:p>
    <w:p w14:paraId="6A86C08B" w14:textId="564752F3" w:rsidR="00CB796C" w:rsidRDefault="00483C76">
      <w:pPr>
        <w:pStyle w:val="Verzeichnis1"/>
        <w:tabs>
          <w:tab w:val="left" w:pos="480"/>
          <w:tab w:val="right" w:pos="9016"/>
        </w:tabs>
        <w:rPr>
          <w:rFonts w:asciiTheme="minorHAnsi" w:eastAsiaTheme="minorEastAsia" w:hAnsiTheme="minorHAnsi" w:cstheme="minorBidi"/>
          <w:b w:val="0"/>
          <w:bCs w:val="0"/>
          <w:caps w:val="0"/>
          <w:noProof/>
          <w:sz w:val="22"/>
          <w:szCs w:val="22"/>
          <w:lang w:val="de-DE" w:eastAsia="de-DE"/>
        </w:rPr>
      </w:pPr>
      <w:hyperlink w:anchor="_Toc170228541" w:history="1">
        <w:r w:rsidR="00CB796C" w:rsidRPr="00474D11">
          <w:rPr>
            <w:rStyle w:val="Hyperlink"/>
            <w:noProof/>
            <w:lang w:val="en-GB"/>
          </w:rPr>
          <w:t>6.</w:t>
        </w:r>
        <w:r w:rsidR="00CB796C">
          <w:rPr>
            <w:rFonts w:asciiTheme="minorHAnsi" w:eastAsiaTheme="minorEastAsia" w:hAnsiTheme="minorHAnsi" w:cstheme="minorBidi"/>
            <w:b w:val="0"/>
            <w:bCs w:val="0"/>
            <w:caps w:val="0"/>
            <w:noProof/>
            <w:sz w:val="22"/>
            <w:szCs w:val="22"/>
            <w:lang w:val="de-DE" w:eastAsia="de-DE"/>
          </w:rPr>
          <w:tab/>
        </w:r>
        <w:r w:rsidR="00CB796C" w:rsidRPr="00474D11">
          <w:rPr>
            <w:rStyle w:val="Hyperlink"/>
            <w:noProof/>
            <w:lang w:val="en-GB"/>
          </w:rPr>
          <w:t>Memorandum</w:t>
        </w:r>
        <w:r w:rsidR="00CB796C">
          <w:rPr>
            <w:noProof/>
            <w:webHidden/>
          </w:rPr>
          <w:tab/>
        </w:r>
        <w:r w:rsidR="00CB796C">
          <w:rPr>
            <w:noProof/>
            <w:webHidden/>
          </w:rPr>
          <w:fldChar w:fldCharType="begin"/>
        </w:r>
        <w:r w:rsidR="00CB796C">
          <w:rPr>
            <w:noProof/>
            <w:webHidden/>
          </w:rPr>
          <w:instrText xml:space="preserve"> PAGEREF _Toc170228541 \h </w:instrText>
        </w:r>
        <w:r w:rsidR="00CB796C">
          <w:rPr>
            <w:noProof/>
            <w:webHidden/>
          </w:rPr>
        </w:r>
        <w:r w:rsidR="00CB796C">
          <w:rPr>
            <w:noProof/>
            <w:webHidden/>
          </w:rPr>
          <w:fldChar w:fldCharType="separate"/>
        </w:r>
        <w:r w:rsidR="009034E1">
          <w:rPr>
            <w:noProof/>
            <w:webHidden/>
          </w:rPr>
          <w:t>89</w:t>
        </w:r>
        <w:r w:rsidR="00CB796C">
          <w:rPr>
            <w:noProof/>
            <w:webHidden/>
          </w:rPr>
          <w:fldChar w:fldCharType="end"/>
        </w:r>
      </w:hyperlink>
    </w:p>
    <w:p w14:paraId="74037538" w14:textId="6F4024BA" w:rsidR="00CF2A65" w:rsidRDefault="00CF2A65" w:rsidP="00777A20">
      <w:pPr>
        <w:spacing w:after="160" w:line="259" w:lineRule="auto"/>
        <w:jc w:val="both"/>
        <w:rPr>
          <w:b/>
          <w:bCs/>
          <w:u w:val="single"/>
          <w:lang w:val="en-GB"/>
        </w:rPr>
      </w:pPr>
      <w:r w:rsidRPr="00D932F2">
        <w:rPr>
          <w:b/>
          <w:bCs/>
          <w:u w:val="single"/>
          <w:lang w:val="en-GB"/>
        </w:rPr>
        <w:fldChar w:fldCharType="end"/>
      </w:r>
    </w:p>
    <w:p w14:paraId="43B4CA1F" w14:textId="77777777" w:rsidR="00047453" w:rsidRDefault="00047453" w:rsidP="00777A20">
      <w:pPr>
        <w:spacing w:after="160" w:line="259" w:lineRule="auto"/>
        <w:jc w:val="both"/>
        <w:rPr>
          <w:b/>
          <w:bCs/>
          <w:u w:val="single"/>
          <w:lang w:val="en-GB"/>
        </w:rPr>
      </w:pPr>
      <w:r>
        <w:rPr>
          <w:b/>
          <w:bCs/>
          <w:u w:val="single"/>
          <w:lang w:val="en-GB"/>
        </w:rPr>
        <w:br w:type="page"/>
      </w:r>
    </w:p>
    <w:p w14:paraId="09BAECF1" w14:textId="77777777" w:rsidR="00B73167" w:rsidRDefault="00B73167" w:rsidP="00777A20">
      <w:pPr>
        <w:spacing w:line="360" w:lineRule="auto"/>
        <w:jc w:val="both"/>
        <w:rPr>
          <w:b/>
          <w:bCs/>
          <w:u w:val="single"/>
          <w:lang w:val="en-GB"/>
        </w:rPr>
      </w:pPr>
      <w:r w:rsidRPr="00353C2A">
        <w:rPr>
          <w:b/>
          <w:bCs/>
          <w:u w:val="single"/>
          <w:lang w:val="en-GB"/>
        </w:rPr>
        <w:lastRenderedPageBreak/>
        <w:t>MR2.0: Annotated index of Country Report</w:t>
      </w:r>
      <w:bookmarkEnd w:id="0"/>
    </w:p>
    <w:p w14:paraId="63209FAF" w14:textId="77777777" w:rsidR="00B73167" w:rsidRPr="00B73167" w:rsidRDefault="00B73167" w:rsidP="00777A20">
      <w:pPr>
        <w:spacing w:line="360" w:lineRule="auto"/>
        <w:jc w:val="both"/>
        <w:rPr>
          <w:b/>
          <w:bCs/>
          <w:u w:val="single"/>
          <w:lang w:val="en-GB"/>
        </w:rPr>
      </w:pPr>
    </w:p>
    <w:p w14:paraId="759AD702" w14:textId="77777777" w:rsidR="00EF6715" w:rsidRDefault="00B73167" w:rsidP="00777A20">
      <w:pPr>
        <w:pStyle w:val="berschrift1"/>
        <w:rPr>
          <w:lang w:val="en-GB"/>
        </w:rPr>
      </w:pPr>
      <w:bookmarkStart w:id="1" w:name="_Toc147328911"/>
      <w:bookmarkStart w:id="2" w:name="_Toc147328945"/>
      <w:bookmarkStart w:id="3" w:name="_Toc147329057"/>
      <w:bookmarkStart w:id="4" w:name="_Toc170228487"/>
      <w:r>
        <w:rPr>
          <w:lang w:val="en-GB"/>
        </w:rPr>
        <w:t>The instruments and national law</w:t>
      </w:r>
      <w:bookmarkEnd w:id="1"/>
      <w:bookmarkEnd w:id="2"/>
      <w:bookmarkEnd w:id="3"/>
      <w:bookmarkEnd w:id="4"/>
    </w:p>
    <w:p w14:paraId="50377125" w14:textId="77777777" w:rsidR="003A5F21" w:rsidRPr="00F44757" w:rsidRDefault="003A5F21" w:rsidP="00777A20">
      <w:pPr>
        <w:jc w:val="both"/>
        <w:rPr>
          <w:b/>
          <w:color w:val="FF0000"/>
          <w:lang w:val="en-GB"/>
        </w:rPr>
      </w:pPr>
      <w:r w:rsidRPr="00F44757">
        <w:rPr>
          <w:b/>
          <w:color w:val="FF0000"/>
          <w:lang w:val="en-GB"/>
        </w:rPr>
        <w:t>General introduction</w:t>
      </w:r>
    </w:p>
    <w:p w14:paraId="79FC775F" w14:textId="77777777" w:rsidR="003A5F21" w:rsidRPr="00777A20" w:rsidRDefault="003A5F21" w:rsidP="00777A20">
      <w:pPr>
        <w:jc w:val="both"/>
        <w:rPr>
          <w:color w:val="FF0000"/>
          <w:lang w:val="en-GB"/>
        </w:rPr>
      </w:pPr>
    </w:p>
    <w:p w14:paraId="657C7D08" w14:textId="77777777" w:rsidR="00B73167" w:rsidRPr="00F44757" w:rsidRDefault="00B73167" w:rsidP="00777A20">
      <w:pPr>
        <w:spacing w:line="360" w:lineRule="auto"/>
        <w:jc w:val="both"/>
        <w:rPr>
          <w:color w:val="FF0000"/>
          <w:lang w:val="en-GB"/>
        </w:rPr>
      </w:pPr>
      <w:r w:rsidRPr="00F44757">
        <w:rPr>
          <w:color w:val="FF0000"/>
          <w:lang w:val="en-GB"/>
        </w:rPr>
        <w:t>This chapter deals with two general matters:</w:t>
      </w:r>
    </w:p>
    <w:p w14:paraId="73D5901E" w14:textId="77777777" w:rsidR="00B73167" w:rsidRPr="00F44757" w:rsidRDefault="00B73167" w:rsidP="00777A20">
      <w:pPr>
        <w:pStyle w:val="Listenabsatz"/>
        <w:numPr>
          <w:ilvl w:val="0"/>
          <w:numId w:val="6"/>
        </w:numPr>
        <w:spacing w:line="360" w:lineRule="auto"/>
        <w:jc w:val="both"/>
        <w:rPr>
          <w:color w:val="FF0000"/>
          <w:lang w:val="en-GB"/>
        </w:rPr>
      </w:pPr>
      <w:r w:rsidRPr="00F44757">
        <w:rPr>
          <w:color w:val="FF0000"/>
          <w:lang w:val="en-GB"/>
        </w:rPr>
        <w:t xml:space="preserve">the transposition/ratification of the instruments by the MS of the NAR; </w:t>
      </w:r>
    </w:p>
    <w:p w14:paraId="6306C489" w14:textId="77777777" w:rsidR="00B73167" w:rsidRPr="00F44757" w:rsidRDefault="00B73167" w:rsidP="00777A20">
      <w:pPr>
        <w:pStyle w:val="Listenabsatz"/>
        <w:numPr>
          <w:ilvl w:val="0"/>
          <w:numId w:val="6"/>
        </w:numPr>
        <w:spacing w:line="360" w:lineRule="auto"/>
        <w:jc w:val="both"/>
        <w:rPr>
          <w:b/>
          <w:bCs/>
          <w:color w:val="FF0000"/>
          <w:lang w:val="en-GB"/>
        </w:rPr>
      </w:pPr>
      <w:r w:rsidRPr="00F44757">
        <w:rPr>
          <w:color w:val="FF0000"/>
          <w:lang w:val="en-GB"/>
        </w:rPr>
        <w:t>the (judicial) authorities/central authorities designated by that MS under the instruments/convention.</w:t>
      </w:r>
      <w:r w:rsidRPr="00F44757">
        <w:rPr>
          <w:b/>
          <w:bCs/>
          <w:color w:val="FF0000"/>
          <w:lang w:val="en-GB"/>
        </w:rPr>
        <w:t xml:space="preserve"> </w:t>
      </w:r>
    </w:p>
    <w:p w14:paraId="15AE9C81" w14:textId="77777777" w:rsidR="00B73167" w:rsidRPr="00F44757" w:rsidRDefault="00B73167" w:rsidP="00777A20">
      <w:pPr>
        <w:spacing w:line="360" w:lineRule="auto"/>
        <w:jc w:val="both"/>
        <w:rPr>
          <w:color w:val="FF0000"/>
          <w:lang w:val="en-GB"/>
        </w:rPr>
      </w:pPr>
    </w:p>
    <w:p w14:paraId="66B6C772" w14:textId="6D931913" w:rsidR="00B73167" w:rsidRPr="00F44757" w:rsidRDefault="00B73167" w:rsidP="00777A20">
      <w:pPr>
        <w:spacing w:line="360" w:lineRule="auto"/>
        <w:jc w:val="both"/>
        <w:rPr>
          <w:color w:val="FF0000"/>
          <w:lang w:val="en-GB"/>
        </w:rPr>
      </w:pPr>
      <w:r w:rsidRPr="00F44757">
        <w:rPr>
          <w:color w:val="FF0000"/>
          <w:lang w:val="en-GB"/>
        </w:rPr>
        <w:t>In the proposal, we stated that the ‘perspective adopted by this project is that of a criminal prosecution or enforcement proceedings with a transnational aspect. That transnational aspect is linked to the accused or the convicted person. The accused or convicted person is present in another Member State [than the issuing Member State] or is a national or a resident of another Member State’.</w:t>
      </w:r>
      <w:r w:rsidRPr="00F44757">
        <w:rPr>
          <w:rStyle w:val="Funotenzeichen"/>
          <w:rFonts w:eastAsiaTheme="majorEastAsia"/>
          <w:color w:val="FF0000"/>
          <w:lang w:val="en-GB"/>
        </w:rPr>
        <w:footnoteReference w:id="5"/>
      </w:r>
      <w:r w:rsidRPr="00F44757">
        <w:rPr>
          <w:color w:val="FF0000"/>
          <w:lang w:val="en-GB"/>
        </w:rPr>
        <w:t xml:space="preserve"> The latter circumstance presupposes that the person concerned is present in the issuing MS. Situations in which the whereabouts of the person concerned are unknown are </w:t>
      </w:r>
      <w:r w:rsidR="00E34E1E" w:rsidRPr="00F44757">
        <w:rPr>
          <w:color w:val="FF0000"/>
          <w:lang w:val="en-GB"/>
        </w:rPr>
        <w:t>addressed in Chapter 5</w:t>
      </w:r>
      <w:r w:rsidR="00B97282" w:rsidRPr="00F44757">
        <w:rPr>
          <w:color w:val="FF0000"/>
          <w:lang w:val="en-GB"/>
        </w:rPr>
        <w:t>.</w:t>
      </w:r>
      <w:r w:rsidRPr="00F44757">
        <w:rPr>
          <w:color w:val="FF0000"/>
          <w:lang w:val="en-GB"/>
        </w:rPr>
        <w:t xml:space="preserve"> </w:t>
      </w:r>
    </w:p>
    <w:p w14:paraId="0D0E3E4D" w14:textId="77777777" w:rsidR="00B73167" w:rsidRPr="00F44757" w:rsidRDefault="00B73167" w:rsidP="00777A20">
      <w:pPr>
        <w:spacing w:line="360" w:lineRule="auto"/>
        <w:jc w:val="both"/>
        <w:rPr>
          <w:color w:val="FF0000"/>
          <w:lang w:val="en-GB"/>
        </w:rPr>
      </w:pPr>
    </w:p>
    <w:p w14:paraId="7678DA4C" w14:textId="6AECA57F" w:rsidR="00B73167" w:rsidRPr="00F44757" w:rsidRDefault="00DD6759" w:rsidP="00777A20">
      <w:pPr>
        <w:spacing w:line="360" w:lineRule="auto"/>
        <w:jc w:val="both"/>
        <w:rPr>
          <w:color w:val="FF0000"/>
          <w:lang w:val="en-GB"/>
        </w:rPr>
      </w:pPr>
      <w:r w:rsidRPr="00F44757">
        <w:rPr>
          <w:color w:val="FF0000"/>
          <w:lang w:val="en-GB"/>
        </w:rPr>
        <w:t>O</w:t>
      </w:r>
      <w:r w:rsidR="00B73167" w:rsidRPr="00F44757">
        <w:rPr>
          <w:color w:val="FF0000"/>
          <w:lang w:val="en-GB"/>
        </w:rPr>
        <w:t>nly those proceedings in which a subject has been identified fall within the scope of the project. That is to say, situations in which the competent authorities have reasons to believe that an offence was committed but do not yet know who the probable author of that offence was do not fall within the scope. At the same time, an enforcement proceeding is not conceivable without a convicted person whose identity is known.</w:t>
      </w:r>
    </w:p>
    <w:p w14:paraId="155B9D02" w14:textId="77777777" w:rsidR="00B73167" w:rsidRPr="00F44757" w:rsidRDefault="00B73167" w:rsidP="00777A20">
      <w:pPr>
        <w:spacing w:line="360" w:lineRule="auto"/>
        <w:jc w:val="both"/>
        <w:rPr>
          <w:color w:val="FF0000"/>
          <w:lang w:val="en-GB"/>
        </w:rPr>
      </w:pPr>
    </w:p>
    <w:p w14:paraId="76A311E4" w14:textId="77777777" w:rsidR="00B73167" w:rsidRPr="00F44757" w:rsidRDefault="00B73167" w:rsidP="00777A20">
      <w:pPr>
        <w:spacing w:line="360" w:lineRule="auto"/>
        <w:jc w:val="both"/>
        <w:rPr>
          <w:color w:val="FF0000"/>
          <w:lang w:val="en-GB"/>
        </w:rPr>
      </w:pPr>
      <w:r w:rsidRPr="00F44757">
        <w:rPr>
          <w:color w:val="FF0000"/>
          <w:lang w:val="en-GB"/>
        </w:rPr>
        <w:t>The proposal also states that the project will focus on instruments that are capable of prejudicing the liberty (in a broad sense) of the suspect/accused/convicted person.</w:t>
      </w:r>
      <w:r w:rsidRPr="00F44757">
        <w:rPr>
          <w:rStyle w:val="Funotenzeichen"/>
          <w:rFonts w:eastAsiaTheme="majorEastAsia"/>
          <w:color w:val="FF0000"/>
          <w:lang w:val="en-GB"/>
        </w:rPr>
        <w:footnoteReference w:id="6"/>
      </w:r>
      <w:r w:rsidRPr="00F44757">
        <w:rPr>
          <w:color w:val="FF0000"/>
          <w:lang w:val="en-GB"/>
        </w:rPr>
        <w:t xml:space="preserve"> </w:t>
      </w:r>
    </w:p>
    <w:p w14:paraId="3356262B" w14:textId="5DC18013" w:rsidR="00B73167" w:rsidRPr="00F44757" w:rsidRDefault="00B73167" w:rsidP="00777A20">
      <w:pPr>
        <w:spacing w:line="360" w:lineRule="auto"/>
        <w:jc w:val="both"/>
        <w:rPr>
          <w:color w:val="FF0000"/>
          <w:lang w:val="en-GB"/>
        </w:rPr>
      </w:pPr>
      <w:r w:rsidRPr="00F44757">
        <w:rPr>
          <w:color w:val="FF0000"/>
          <w:lang w:val="en-GB"/>
        </w:rPr>
        <w:t xml:space="preserve">This means that the perspective of a criminal prosecution or enforcement proceedings with a transnational aspect inherently concerns investigation/prosecution/enforcement proceedings with regard </w:t>
      </w:r>
      <w:bookmarkStart w:id="5" w:name="_Hlk144028143"/>
      <w:r w:rsidRPr="00F44757">
        <w:rPr>
          <w:color w:val="FF0000"/>
          <w:lang w:val="en-GB"/>
        </w:rPr>
        <w:t>to an offence for which detention on remand</w:t>
      </w:r>
      <w:r w:rsidRPr="00F44757">
        <w:rPr>
          <w:rStyle w:val="Funotenzeichen"/>
          <w:rFonts w:eastAsiaTheme="majorEastAsia"/>
          <w:color w:val="FF0000"/>
          <w:lang w:val="en-GB"/>
        </w:rPr>
        <w:footnoteReference w:id="7"/>
      </w:r>
      <w:r w:rsidRPr="00F44757">
        <w:rPr>
          <w:color w:val="FF0000"/>
          <w:lang w:val="en-GB"/>
        </w:rPr>
        <w:t xml:space="preserve"> is (ultimately) possible.</w:t>
      </w:r>
      <w:r w:rsidRPr="00F44757">
        <w:rPr>
          <w:rStyle w:val="Funotenzeichen"/>
          <w:rFonts w:eastAsiaTheme="majorEastAsia"/>
          <w:color w:val="FF0000"/>
          <w:lang w:val="en-GB"/>
        </w:rPr>
        <w:footnoteReference w:id="8"/>
      </w:r>
      <w:r w:rsidRPr="00F44757">
        <w:rPr>
          <w:color w:val="FF0000"/>
          <w:lang w:val="en-GB"/>
        </w:rPr>
        <w:t xml:space="preserve"> </w:t>
      </w:r>
      <w:bookmarkEnd w:id="5"/>
    </w:p>
    <w:p w14:paraId="0B0320E2" w14:textId="77777777" w:rsidR="00B73167" w:rsidRPr="00F44757" w:rsidRDefault="00B73167" w:rsidP="00777A20">
      <w:pPr>
        <w:spacing w:line="360" w:lineRule="auto"/>
        <w:jc w:val="both"/>
        <w:rPr>
          <w:color w:val="FF0000"/>
          <w:lang w:val="en-GB"/>
        </w:rPr>
      </w:pPr>
      <w:r w:rsidRPr="00F44757">
        <w:rPr>
          <w:color w:val="FF0000"/>
          <w:lang w:val="en-GB"/>
        </w:rPr>
        <w:lastRenderedPageBreak/>
        <w:t xml:space="preserve">Against this background, the project will examine two categories of instruments: </w:t>
      </w:r>
    </w:p>
    <w:p w14:paraId="121128BD" w14:textId="77777777" w:rsidR="00B73167" w:rsidRPr="00F44757" w:rsidRDefault="00B73167" w:rsidP="00777A20">
      <w:pPr>
        <w:pStyle w:val="Listenabsatz"/>
        <w:numPr>
          <w:ilvl w:val="0"/>
          <w:numId w:val="7"/>
        </w:numPr>
        <w:spacing w:line="360" w:lineRule="auto"/>
        <w:jc w:val="both"/>
        <w:rPr>
          <w:color w:val="FF0000"/>
          <w:lang w:val="en-GB"/>
        </w:rPr>
      </w:pPr>
      <w:r w:rsidRPr="00F44757">
        <w:rPr>
          <w:color w:val="FF0000"/>
          <w:lang w:val="en-GB"/>
        </w:rPr>
        <w:t>instruments that involve deprivation of liberty of a suspect, accused or convicted person, and</w:t>
      </w:r>
    </w:p>
    <w:p w14:paraId="37549BB3" w14:textId="77777777" w:rsidR="00B73167" w:rsidRPr="00F44757" w:rsidRDefault="00B73167" w:rsidP="00777A20">
      <w:pPr>
        <w:pStyle w:val="Listenabsatz"/>
        <w:numPr>
          <w:ilvl w:val="0"/>
          <w:numId w:val="7"/>
        </w:numPr>
        <w:spacing w:line="360" w:lineRule="auto"/>
        <w:jc w:val="both"/>
        <w:rPr>
          <w:color w:val="FF0000"/>
          <w:lang w:val="en-GB"/>
        </w:rPr>
      </w:pPr>
      <w:r w:rsidRPr="00F44757">
        <w:rPr>
          <w:color w:val="FF0000"/>
          <w:lang w:val="en-GB"/>
        </w:rPr>
        <w:t xml:space="preserve">instruments that offer a (less intrusive) alternative to measures involving deprivation of liberty of a suspect, accused or convicted person.    </w:t>
      </w:r>
    </w:p>
    <w:p w14:paraId="43E5EEFB" w14:textId="77777777" w:rsidR="00B73167" w:rsidRPr="00F44757" w:rsidRDefault="00B73167" w:rsidP="00777A20">
      <w:pPr>
        <w:spacing w:line="360" w:lineRule="auto"/>
        <w:jc w:val="both"/>
        <w:rPr>
          <w:color w:val="FF0000"/>
          <w:lang w:val="en-GB"/>
        </w:rPr>
      </w:pPr>
    </w:p>
    <w:p w14:paraId="670DDB90" w14:textId="77777777" w:rsidR="00B73167" w:rsidRPr="00F44757" w:rsidRDefault="00B73167" w:rsidP="00777A20">
      <w:pPr>
        <w:spacing w:line="360" w:lineRule="auto"/>
        <w:jc w:val="both"/>
        <w:rPr>
          <w:color w:val="FF0000"/>
          <w:lang w:val="en-GB"/>
        </w:rPr>
      </w:pPr>
      <w:r w:rsidRPr="00F44757">
        <w:rPr>
          <w:color w:val="FF0000"/>
          <w:lang w:val="en-GB"/>
        </w:rPr>
        <w:t>In order to establish whether the effectiveness and coherence of the application of instruments involving deprivation of liberty can be improved, it is absolutely essential to include some instruments that do not impinge on the liberty of the person concerned. Some of these instruments could serve as a less intrusive but sufficiently effective – and therefore proportionate – alternative to instruments that do impinge on liberty. Since proportionality is an essential part of our definition of the concept of ‘effective and coherent application’</w:t>
      </w:r>
      <w:r w:rsidRPr="00F44757">
        <w:rPr>
          <w:color w:val="FF0000"/>
          <w:vertAlign w:val="superscript"/>
          <w:lang w:val="en-GB"/>
        </w:rPr>
        <w:footnoteReference w:id="9"/>
      </w:r>
      <w:r w:rsidRPr="00F44757">
        <w:rPr>
          <w:color w:val="FF0000"/>
          <w:lang w:val="en-GB"/>
        </w:rPr>
        <w:t xml:space="preserve"> these less intrusive instruments are therefore in scope even though they do not impinge on liberty. This is in line with the European Commission’s Recommendation 2023/681 of 8 December 2022 on procedural rights of suspects and accused persons subject to pre-trial detention and on material detention conditions.</w:t>
      </w:r>
      <w:r w:rsidRPr="00F44757">
        <w:rPr>
          <w:color w:val="FF0000"/>
          <w:vertAlign w:val="superscript"/>
          <w:lang w:val="en-GB"/>
        </w:rPr>
        <w:footnoteReference w:id="10"/>
      </w:r>
    </w:p>
    <w:p w14:paraId="19AD0EFD" w14:textId="77777777" w:rsidR="00B73167" w:rsidRPr="00F44757" w:rsidRDefault="00B73167" w:rsidP="00777A20">
      <w:pPr>
        <w:spacing w:line="360" w:lineRule="auto"/>
        <w:jc w:val="both"/>
        <w:rPr>
          <w:color w:val="FF0000"/>
          <w:lang w:val="en-GB"/>
        </w:rPr>
      </w:pPr>
    </w:p>
    <w:p w14:paraId="1F24B410" w14:textId="77777777" w:rsidR="00B73167" w:rsidRPr="00F44757" w:rsidRDefault="00B73167" w:rsidP="00777A20">
      <w:pPr>
        <w:spacing w:line="360" w:lineRule="auto"/>
        <w:jc w:val="both"/>
        <w:rPr>
          <w:color w:val="FF0000"/>
          <w:lang w:val="en-GB"/>
        </w:rPr>
      </w:pPr>
      <w:r w:rsidRPr="00F44757">
        <w:rPr>
          <w:color w:val="FF0000"/>
          <w:lang w:val="en-GB"/>
        </w:rPr>
        <w:t>With regard to the concept of ‘intrusiveness’ the following scale could give guidance.</w:t>
      </w:r>
    </w:p>
    <w:p w14:paraId="5E1C8D79" w14:textId="77777777" w:rsidR="00B73167" w:rsidRPr="00F44757" w:rsidRDefault="00B73167" w:rsidP="00777A20">
      <w:pPr>
        <w:spacing w:line="360" w:lineRule="auto"/>
        <w:jc w:val="both"/>
        <w:rPr>
          <w:color w:val="FF0000"/>
          <w:lang w:val="en-US"/>
        </w:rPr>
      </w:pPr>
      <w:r w:rsidRPr="00F44757">
        <w:rPr>
          <w:color w:val="FF0000"/>
          <w:lang w:val="en-US"/>
        </w:rPr>
        <w:t>Using an instrument without detention is less intrusive than using an instrument with detention. Involvement without physical presence in the requesting MS (e.g. through video-conferencing) is less intrusive than transferring the person concerned. Involvement on the basis of voluntary arrangements is less intrusive than employing coercive measures.</w:t>
      </w:r>
    </w:p>
    <w:p w14:paraId="086C35A0" w14:textId="77777777" w:rsidR="00B73167" w:rsidRPr="00F44757" w:rsidRDefault="00B73167" w:rsidP="00777A20">
      <w:pPr>
        <w:spacing w:line="360" w:lineRule="auto"/>
        <w:jc w:val="both"/>
        <w:rPr>
          <w:color w:val="FF0000"/>
          <w:lang w:val="en-US"/>
        </w:rPr>
      </w:pPr>
    </w:p>
    <w:p w14:paraId="3A51E65C" w14:textId="77777777" w:rsidR="00B73167" w:rsidRPr="00F44757" w:rsidRDefault="00B73167" w:rsidP="00777A20">
      <w:pPr>
        <w:spacing w:line="360" w:lineRule="auto"/>
        <w:jc w:val="both"/>
        <w:rPr>
          <w:color w:val="FF0000"/>
          <w:lang w:val="en-GB"/>
        </w:rPr>
      </w:pPr>
      <w:r w:rsidRPr="00F44757">
        <w:rPr>
          <w:color w:val="FF0000"/>
          <w:lang w:val="en-GB"/>
        </w:rPr>
        <w:t>Included in the research are the following instruments:</w:t>
      </w:r>
    </w:p>
    <w:p w14:paraId="72FF29D7" w14:textId="72D7D0FB" w:rsidR="00B73167" w:rsidRPr="00F44757" w:rsidRDefault="004D3C91" w:rsidP="00777A20">
      <w:pPr>
        <w:pStyle w:val="Listenabsatz"/>
        <w:numPr>
          <w:ilvl w:val="0"/>
          <w:numId w:val="8"/>
        </w:numPr>
        <w:spacing w:line="360" w:lineRule="auto"/>
        <w:jc w:val="both"/>
        <w:rPr>
          <w:color w:val="FF0000"/>
          <w:lang w:val="en-GB"/>
        </w:rPr>
      </w:pPr>
      <w:bookmarkStart w:id="6" w:name="_Hlk141771362"/>
      <w:r w:rsidRPr="00F44757">
        <w:rPr>
          <w:color w:val="FF0000"/>
          <w:lang w:val="en-GB"/>
        </w:rPr>
        <w:t>Council Framework Decision 2002/584/JHA of 13 June 2002 on the European arrest warrant and the surrender procedures between Member States (</w:t>
      </w:r>
      <w:r w:rsidR="00B73167" w:rsidRPr="00F44757">
        <w:rPr>
          <w:color w:val="FF0000"/>
          <w:lang w:val="en-GB"/>
        </w:rPr>
        <w:t>FD</w:t>
      </w:r>
      <w:r w:rsidR="00B114C8" w:rsidRPr="00F44757">
        <w:rPr>
          <w:rStyle w:val="Funotenzeichen"/>
          <w:color w:val="FF0000"/>
          <w:lang w:val="en-GB"/>
        </w:rPr>
        <w:footnoteReference w:id="11"/>
      </w:r>
      <w:r w:rsidR="00B73167" w:rsidRPr="00F44757">
        <w:rPr>
          <w:color w:val="FF0000"/>
          <w:lang w:val="en-GB"/>
        </w:rPr>
        <w:t xml:space="preserve"> 2002/584/JHA</w:t>
      </w:r>
      <w:r w:rsidRPr="00F44757">
        <w:rPr>
          <w:color w:val="FF0000"/>
          <w:lang w:val="en-GB"/>
        </w:rPr>
        <w:t>)</w:t>
      </w:r>
      <w:r w:rsidR="00B73167" w:rsidRPr="00F44757">
        <w:rPr>
          <w:color w:val="FF0000"/>
          <w:lang w:val="en-GB"/>
        </w:rPr>
        <w:t>;</w:t>
      </w:r>
      <w:r w:rsidRPr="00F44757">
        <w:rPr>
          <w:rStyle w:val="Funotenzeichen"/>
          <w:color w:val="FF0000"/>
          <w:lang w:val="en-GB"/>
        </w:rPr>
        <w:footnoteReference w:id="12"/>
      </w:r>
    </w:p>
    <w:p w14:paraId="41F515D1" w14:textId="48CAD884" w:rsidR="00B73167" w:rsidRPr="00777A20" w:rsidRDefault="004D3C91" w:rsidP="00777A20">
      <w:pPr>
        <w:pStyle w:val="Listenabsatz"/>
        <w:numPr>
          <w:ilvl w:val="0"/>
          <w:numId w:val="8"/>
        </w:numPr>
        <w:spacing w:line="360" w:lineRule="auto"/>
        <w:jc w:val="both"/>
        <w:rPr>
          <w:color w:val="FF0000"/>
          <w:lang w:val="en-GB"/>
        </w:rPr>
      </w:pPr>
      <w:r w:rsidRPr="00F44757">
        <w:rPr>
          <w:color w:val="FF0000"/>
          <w:lang w:val="en-GB"/>
        </w:rPr>
        <w:t xml:space="preserve">Council Framework Decision 2008/909/JHA of 27 November 2008 on the application of the principle of mutual recognition to judgments in criminal matters imposing </w:t>
      </w:r>
      <w:r w:rsidRPr="00F44757">
        <w:rPr>
          <w:color w:val="FF0000"/>
          <w:lang w:val="en-GB"/>
        </w:rPr>
        <w:lastRenderedPageBreak/>
        <w:t xml:space="preserve">custodial sentences or measures involving deprivation of liberty for the purpose of their enforcement in the European Union </w:t>
      </w:r>
      <w:r w:rsidRPr="00777A20">
        <w:rPr>
          <w:color w:val="FF0000"/>
          <w:lang w:val="en-GB"/>
        </w:rPr>
        <w:t>(</w:t>
      </w:r>
      <w:r w:rsidR="00B73167" w:rsidRPr="00777A20">
        <w:rPr>
          <w:color w:val="FF0000"/>
          <w:lang w:val="en-GB"/>
        </w:rPr>
        <w:t>FD 2008/909/JHA</w:t>
      </w:r>
      <w:bookmarkEnd w:id="6"/>
      <w:r w:rsidRPr="00777A20">
        <w:rPr>
          <w:color w:val="FF0000"/>
          <w:lang w:val="en-GB"/>
        </w:rPr>
        <w:t>)</w:t>
      </w:r>
      <w:r w:rsidR="00B73167" w:rsidRPr="00777A20">
        <w:rPr>
          <w:color w:val="FF0000"/>
          <w:lang w:val="en-GB"/>
        </w:rPr>
        <w:t>;</w:t>
      </w:r>
      <w:r w:rsidRPr="00F44757">
        <w:rPr>
          <w:rStyle w:val="Funotenzeichen"/>
          <w:color w:val="FF0000"/>
          <w:lang w:val="en-GB"/>
        </w:rPr>
        <w:footnoteReference w:id="13"/>
      </w:r>
    </w:p>
    <w:p w14:paraId="7252BE60" w14:textId="7DD785D3" w:rsidR="00B73167" w:rsidRPr="00F44757" w:rsidRDefault="00622046" w:rsidP="00777A20">
      <w:pPr>
        <w:pStyle w:val="Listenabsatz"/>
        <w:numPr>
          <w:ilvl w:val="0"/>
          <w:numId w:val="8"/>
        </w:numPr>
        <w:spacing w:line="360" w:lineRule="auto"/>
        <w:jc w:val="both"/>
        <w:rPr>
          <w:color w:val="FF0000"/>
          <w:lang w:val="en-GB"/>
        </w:rPr>
      </w:pPr>
      <w:r w:rsidRPr="00F44757">
        <w:rPr>
          <w:color w:val="FF0000"/>
          <w:lang w:val="en-GB"/>
        </w:rPr>
        <w:t>Council Framework Decision 2008/947/JHA of 27 November 2008 on the application of the principle of mutual recognition to judgments and probation decisions with a view to the supervision of probation measures and alternative sanctions (</w:t>
      </w:r>
      <w:r w:rsidR="00B73167" w:rsidRPr="00F44757">
        <w:rPr>
          <w:color w:val="FF0000"/>
          <w:lang w:val="en-GB"/>
        </w:rPr>
        <w:t>FD 2008/947/JHA</w:t>
      </w:r>
      <w:r w:rsidRPr="00F44757">
        <w:rPr>
          <w:color w:val="FF0000"/>
          <w:lang w:val="en-GB"/>
        </w:rPr>
        <w:t>)</w:t>
      </w:r>
      <w:r w:rsidR="00B73167" w:rsidRPr="00F44757">
        <w:rPr>
          <w:color w:val="FF0000"/>
          <w:lang w:val="en-GB"/>
        </w:rPr>
        <w:t>;</w:t>
      </w:r>
      <w:r w:rsidRPr="00F44757">
        <w:rPr>
          <w:rStyle w:val="Funotenzeichen"/>
          <w:color w:val="FF0000"/>
          <w:lang w:val="en-GB"/>
        </w:rPr>
        <w:footnoteReference w:id="14"/>
      </w:r>
    </w:p>
    <w:p w14:paraId="6B5E65B4" w14:textId="422C5EBC" w:rsidR="00B73167" w:rsidRPr="00F44757" w:rsidRDefault="00622046" w:rsidP="00777A20">
      <w:pPr>
        <w:pStyle w:val="Listenabsatz"/>
        <w:numPr>
          <w:ilvl w:val="0"/>
          <w:numId w:val="8"/>
        </w:numPr>
        <w:spacing w:line="360" w:lineRule="auto"/>
        <w:jc w:val="both"/>
        <w:rPr>
          <w:color w:val="FF0000"/>
          <w:lang w:val="en-GB"/>
        </w:rPr>
      </w:pPr>
      <w:r w:rsidRPr="00F44757">
        <w:rPr>
          <w:color w:val="FF0000"/>
          <w:lang w:val="en-GB"/>
        </w:rPr>
        <w:t>Council Framework Decision 2009/829/JHA of 23 October 2009 on the application, between Member States of the European Union, of the principle of mutual recognition to decisions on supervision measures as an alternative to provisional detention (</w:t>
      </w:r>
      <w:r w:rsidR="00B73167" w:rsidRPr="00F44757">
        <w:rPr>
          <w:color w:val="FF0000"/>
          <w:lang w:val="en-GB"/>
        </w:rPr>
        <w:t>FD 2009/829/JHA</w:t>
      </w:r>
      <w:r w:rsidRPr="00F44757">
        <w:rPr>
          <w:color w:val="FF0000"/>
          <w:lang w:val="en-GB"/>
        </w:rPr>
        <w:t>)</w:t>
      </w:r>
      <w:r w:rsidR="00B73167" w:rsidRPr="00F44757">
        <w:rPr>
          <w:color w:val="FF0000"/>
          <w:lang w:val="en-GB"/>
        </w:rPr>
        <w:t>;</w:t>
      </w:r>
      <w:r w:rsidRPr="00F44757">
        <w:rPr>
          <w:rStyle w:val="Funotenzeichen"/>
          <w:color w:val="FF0000"/>
          <w:lang w:val="en-GB"/>
        </w:rPr>
        <w:footnoteReference w:id="15"/>
      </w:r>
      <w:r w:rsidR="00B73167" w:rsidRPr="00F44757" w:rsidDel="00487DC5">
        <w:rPr>
          <w:rStyle w:val="Funotenzeichen"/>
          <w:rFonts w:eastAsiaTheme="majorEastAsia"/>
          <w:color w:val="FF0000"/>
          <w:lang w:val="en-GB"/>
        </w:rPr>
        <w:t xml:space="preserve"> </w:t>
      </w:r>
    </w:p>
    <w:p w14:paraId="1F709BE9" w14:textId="58B6CE29" w:rsidR="00B73167" w:rsidRPr="00F44757" w:rsidRDefault="00622046" w:rsidP="00777A20">
      <w:pPr>
        <w:pStyle w:val="Listenabsatz"/>
        <w:numPr>
          <w:ilvl w:val="0"/>
          <w:numId w:val="8"/>
        </w:numPr>
        <w:spacing w:line="360" w:lineRule="auto"/>
        <w:jc w:val="both"/>
        <w:rPr>
          <w:color w:val="FF0000"/>
          <w:lang w:val="en-GB"/>
        </w:rPr>
      </w:pPr>
      <w:r w:rsidRPr="00F44757">
        <w:rPr>
          <w:color w:val="FF0000"/>
          <w:lang w:val="en-GB"/>
        </w:rPr>
        <w:t>Directive 2014/41/EU of the European Parliament and of the Council of 3 April 2014 regarding the European Investigation Order in criminal matters (</w:t>
      </w:r>
      <w:r w:rsidR="00B73167" w:rsidRPr="00F44757">
        <w:rPr>
          <w:color w:val="FF0000"/>
          <w:lang w:val="en-GB"/>
        </w:rPr>
        <w:t>Directive 2014/41/EU</w:t>
      </w:r>
      <w:r w:rsidRPr="00F44757">
        <w:rPr>
          <w:color w:val="FF0000"/>
          <w:lang w:val="en-GB"/>
        </w:rPr>
        <w:t>)</w:t>
      </w:r>
      <w:r w:rsidR="00B73167" w:rsidRPr="00F44757">
        <w:rPr>
          <w:color w:val="FF0000"/>
          <w:lang w:val="en-GB"/>
        </w:rPr>
        <w:t>;</w:t>
      </w:r>
      <w:r w:rsidRPr="00F44757">
        <w:rPr>
          <w:rStyle w:val="Funotenzeichen"/>
          <w:color w:val="FF0000"/>
          <w:lang w:val="en-GB"/>
        </w:rPr>
        <w:footnoteReference w:id="16"/>
      </w:r>
      <w:r w:rsidR="0005768A">
        <w:rPr>
          <w:color w:val="FF0000"/>
          <w:vertAlign w:val="superscript"/>
          <w:lang w:val="en-GB"/>
        </w:rPr>
        <w:t>,</w:t>
      </w:r>
      <w:r w:rsidR="00B73167" w:rsidRPr="00F44757">
        <w:rPr>
          <w:rStyle w:val="Funotenzeichen"/>
          <w:rFonts w:eastAsiaTheme="majorEastAsia"/>
          <w:color w:val="FF0000"/>
          <w:lang w:val="en-GB"/>
        </w:rPr>
        <w:footnoteReference w:id="17"/>
      </w:r>
    </w:p>
    <w:p w14:paraId="3E19F450" w14:textId="46490611" w:rsidR="00B73167" w:rsidRPr="00777A20" w:rsidRDefault="00622046" w:rsidP="00777A20">
      <w:pPr>
        <w:pStyle w:val="Listenabsatz"/>
        <w:numPr>
          <w:ilvl w:val="0"/>
          <w:numId w:val="8"/>
        </w:numPr>
        <w:spacing w:line="360" w:lineRule="auto"/>
        <w:jc w:val="both"/>
        <w:rPr>
          <w:color w:val="FF0000"/>
          <w:lang w:val="en-GB"/>
        </w:rPr>
      </w:pPr>
      <w:r w:rsidRPr="00777A20">
        <w:rPr>
          <w:color w:val="FF0000"/>
          <w:lang w:val="en-GB"/>
        </w:rPr>
        <w:t xml:space="preserve">Convention established by the Council in accordance with Article 34 of the Treaty on European Union, on Mutual Assistance in Criminal Matters between the Member States of the European Union </w:t>
      </w:r>
      <w:r w:rsidRPr="00F44757">
        <w:rPr>
          <w:color w:val="FF0000"/>
          <w:lang w:val="en-GB"/>
        </w:rPr>
        <w:t>(</w:t>
      </w:r>
      <w:r w:rsidR="00B73167" w:rsidRPr="00777A20">
        <w:rPr>
          <w:color w:val="FF0000"/>
          <w:lang w:val="en-GB"/>
        </w:rPr>
        <w:t>EU Convention on Mutual Assistance in Criminal Matters</w:t>
      </w:r>
      <w:r w:rsidRPr="00F44757">
        <w:rPr>
          <w:color w:val="FF0000"/>
          <w:lang w:val="en-GB"/>
        </w:rPr>
        <w:t>)</w:t>
      </w:r>
      <w:r w:rsidR="00B73167" w:rsidRPr="00777A20">
        <w:rPr>
          <w:color w:val="FF0000"/>
          <w:lang w:val="en-GB"/>
        </w:rPr>
        <w:t>;</w:t>
      </w:r>
      <w:r w:rsidRPr="00F44757">
        <w:rPr>
          <w:rStyle w:val="Funotenzeichen"/>
          <w:color w:val="FF0000"/>
          <w:lang w:val="en-GB"/>
        </w:rPr>
        <w:footnoteReference w:id="18"/>
      </w:r>
      <w:r w:rsidR="0005768A">
        <w:rPr>
          <w:color w:val="FF0000"/>
          <w:vertAlign w:val="superscript"/>
          <w:lang w:val="en-GB"/>
        </w:rPr>
        <w:t>,</w:t>
      </w:r>
      <w:r w:rsidR="00B73167" w:rsidRPr="00F44757">
        <w:rPr>
          <w:rStyle w:val="Funotenzeichen"/>
          <w:rFonts w:eastAsiaTheme="majorEastAsia"/>
          <w:color w:val="FF0000"/>
          <w:lang w:val="fr-FR"/>
        </w:rPr>
        <w:footnoteReference w:id="19"/>
      </w:r>
    </w:p>
    <w:p w14:paraId="04BE8386" w14:textId="373A24AC" w:rsidR="00B73167" w:rsidRPr="00F44757" w:rsidRDefault="00B73167" w:rsidP="00777A20">
      <w:pPr>
        <w:pStyle w:val="Listenabsatz"/>
        <w:numPr>
          <w:ilvl w:val="0"/>
          <w:numId w:val="8"/>
        </w:numPr>
        <w:spacing w:line="360" w:lineRule="auto"/>
        <w:jc w:val="both"/>
        <w:rPr>
          <w:color w:val="FF0000"/>
          <w:lang w:val="en-GB"/>
        </w:rPr>
      </w:pPr>
      <w:r w:rsidRPr="00F44757">
        <w:rPr>
          <w:color w:val="FF0000"/>
          <w:lang w:val="en-GB"/>
        </w:rPr>
        <w:t>(CoE) European Convention on the Transfer of Proceedings in Criminal Matters;</w:t>
      </w:r>
      <w:r w:rsidR="004C7727" w:rsidRPr="00F44757">
        <w:rPr>
          <w:rStyle w:val="Funotenzeichen"/>
          <w:color w:val="FF0000"/>
          <w:lang w:val="en-GB"/>
        </w:rPr>
        <w:footnoteReference w:id="20"/>
      </w:r>
      <w:r w:rsidR="004C7727" w:rsidRPr="00F44757">
        <w:rPr>
          <w:color w:val="FF0000"/>
          <w:vertAlign w:val="superscript"/>
          <w:lang w:val="en-GB"/>
        </w:rPr>
        <w:t>,</w:t>
      </w:r>
      <w:r w:rsidRPr="00F44757">
        <w:rPr>
          <w:rStyle w:val="Funotenzeichen"/>
          <w:rFonts w:eastAsiaTheme="majorEastAsia"/>
          <w:color w:val="FF0000"/>
          <w:lang w:val="en-GB"/>
        </w:rPr>
        <w:footnoteReference w:id="21"/>
      </w:r>
    </w:p>
    <w:p w14:paraId="6F1A28AB" w14:textId="0DDDBC9D" w:rsidR="00B73167" w:rsidRPr="0040187E" w:rsidRDefault="00B73167" w:rsidP="00777A20">
      <w:pPr>
        <w:pStyle w:val="Listenabsatz"/>
        <w:numPr>
          <w:ilvl w:val="0"/>
          <w:numId w:val="8"/>
        </w:numPr>
        <w:spacing w:line="360" w:lineRule="auto"/>
        <w:jc w:val="both"/>
        <w:rPr>
          <w:color w:val="FF0000"/>
          <w:lang w:val="en-GB"/>
        </w:rPr>
      </w:pPr>
      <w:r w:rsidRPr="00F44757">
        <w:rPr>
          <w:color w:val="FF0000"/>
          <w:lang w:val="en-GB"/>
        </w:rPr>
        <w:t>(CoE) European Convention on Mutual Assistance in Criminal Matters.</w:t>
      </w:r>
      <w:r w:rsidR="004054D0" w:rsidRPr="00F44757">
        <w:rPr>
          <w:rStyle w:val="Funotenzeichen"/>
          <w:color w:val="FF0000"/>
          <w:lang w:val="en-GB"/>
        </w:rPr>
        <w:footnoteReference w:id="22"/>
      </w:r>
      <w:r w:rsidR="004054D0" w:rsidRPr="00F44757">
        <w:rPr>
          <w:color w:val="FF0000"/>
          <w:vertAlign w:val="superscript"/>
          <w:lang w:val="en-GB"/>
        </w:rPr>
        <w:t>,</w:t>
      </w:r>
      <w:r w:rsidRPr="00F44757">
        <w:rPr>
          <w:rStyle w:val="Funotenzeichen"/>
          <w:rFonts w:eastAsiaTheme="majorEastAsia"/>
          <w:color w:val="FF0000"/>
          <w:lang w:val="en-GB"/>
        </w:rPr>
        <w:footnoteReference w:id="23"/>
      </w:r>
    </w:p>
    <w:p w14:paraId="51466FAB" w14:textId="632AC98F" w:rsidR="00AB5A38" w:rsidRPr="00F44757" w:rsidRDefault="00AB5A38" w:rsidP="00777A20">
      <w:pPr>
        <w:spacing w:line="360" w:lineRule="auto"/>
        <w:jc w:val="both"/>
        <w:rPr>
          <w:color w:val="FF0000"/>
          <w:lang w:val="en-GB"/>
        </w:rPr>
      </w:pPr>
      <w:r w:rsidRPr="00F44757">
        <w:rPr>
          <w:color w:val="FF0000"/>
          <w:lang w:val="en-GB"/>
        </w:rPr>
        <w:lastRenderedPageBreak/>
        <w:t>(The NARs are invited to identify and include other instruments insofar as they can contribute to effective and coherent judicial cooperation.)</w:t>
      </w:r>
      <w:r w:rsidR="00DD767B" w:rsidRPr="00F44757">
        <w:rPr>
          <w:rStyle w:val="Funotenzeichen"/>
          <w:color w:val="FF0000"/>
          <w:lang w:val="en-GB"/>
        </w:rPr>
        <w:footnoteReference w:id="24"/>
      </w:r>
      <w:r w:rsidRPr="00F44757">
        <w:rPr>
          <w:color w:val="FF0000"/>
          <w:lang w:val="en-GB"/>
        </w:rPr>
        <w:t xml:space="preserve">  </w:t>
      </w:r>
    </w:p>
    <w:p w14:paraId="07634E80" w14:textId="77777777" w:rsidR="00AB5A38" w:rsidRPr="00F44757" w:rsidRDefault="00AB5A38" w:rsidP="00777A20">
      <w:pPr>
        <w:spacing w:line="360" w:lineRule="auto"/>
        <w:jc w:val="both"/>
        <w:rPr>
          <w:color w:val="FF0000"/>
          <w:lang w:val="en-GB"/>
        </w:rPr>
      </w:pPr>
    </w:p>
    <w:p w14:paraId="5997216E" w14:textId="77777777" w:rsidR="00B73167" w:rsidRPr="00F44757" w:rsidRDefault="00B73167" w:rsidP="00777A20">
      <w:pPr>
        <w:spacing w:line="360" w:lineRule="auto"/>
        <w:jc w:val="both"/>
        <w:rPr>
          <w:color w:val="FF0000"/>
          <w:lang w:val="en-GB"/>
        </w:rPr>
      </w:pPr>
      <w:r w:rsidRPr="00F44757">
        <w:rPr>
          <w:color w:val="FF0000"/>
          <w:lang w:val="en-GB"/>
        </w:rPr>
        <w:t xml:space="preserve">A number of these instruments concern decisions concerning deprivation of liberty </w:t>
      </w:r>
      <w:r w:rsidRPr="00F44757">
        <w:rPr>
          <w:i/>
          <w:iCs/>
          <w:color w:val="FF0000"/>
          <w:lang w:val="en-GB"/>
        </w:rPr>
        <w:t>stricto sensu</w:t>
      </w:r>
      <w:r w:rsidRPr="00F44757">
        <w:rPr>
          <w:color w:val="FF0000"/>
          <w:lang w:val="en-GB"/>
        </w:rPr>
        <w:t xml:space="preserve"> (FD 2002/584/JHA and FD 2008/909/JHA) or </w:t>
      </w:r>
      <w:r w:rsidRPr="00F44757">
        <w:rPr>
          <w:i/>
          <w:iCs/>
          <w:color w:val="FF0000"/>
          <w:lang w:val="en-GB"/>
        </w:rPr>
        <w:t>lato sensu</w:t>
      </w:r>
      <w:r w:rsidRPr="00F44757">
        <w:rPr>
          <w:color w:val="FF0000"/>
          <w:lang w:val="en-GB"/>
        </w:rPr>
        <w:t xml:space="preserve"> (restriction of liberty: FD 2008/947/JHA and 2009/829/JHA). </w:t>
      </w:r>
    </w:p>
    <w:p w14:paraId="15EA55CD" w14:textId="77777777" w:rsidR="00B73167" w:rsidRPr="00F44757" w:rsidRDefault="00B73167" w:rsidP="00777A20">
      <w:pPr>
        <w:spacing w:line="360" w:lineRule="auto"/>
        <w:jc w:val="both"/>
        <w:rPr>
          <w:color w:val="FF0000"/>
          <w:lang w:val="en-GB"/>
        </w:rPr>
      </w:pPr>
    </w:p>
    <w:p w14:paraId="59EA4EF8" w14:textId="60CC75F5" w:rsidR="00B73167" w:rsidRPr="00F44757" w:rsidRDefault="00B73167" w:rsidP="00777A20">
      <w:pPr>
        <w:spacing w:line="360" w:lineRule="auto"/>
        <w:jc w:val="both"/>
        <w:rPr>
          <w:color w:val="FF0000"/>
          <w:lang w:val="en-GB"/>
        </w:rPr>
      </w:pPr>
      <w:r w:rsidRPr="00F44757">
        <w:rPr>
          <w:color w:val="FF0000"/>
          <w:lang w:val="en-GB"/>
        </w:rPr>
        <w:t>Directive 2014/41/EU does not interfere with the right to liberty of the person concerned, except for the temporary transfer of a person already held in custody for the purpose of investigating measures.</w:t>
      </w:r>
      <w:r w:rsidRPr="00F44757">
        <w:rPr>
          <w:color w:val="FF0000"/>
          <w:vertAlign w:val="superscript"/>
          <w:lang w:val="en-GB"/>
        </w:rPr>
        <w:footnoteReference w:id="25"/>
      </w:r>
      <w:r w:rsidRPr="00F44757">
        <w:rPr>
          <w:color w:val="FF0000"/>
          <w:lang w:val="en-GB"/>
        </w:rPr>
        <w:t xml:space="preserve"> However, this instrument offers (less intrusive) alternatives to surrender on the basis of </w:t>
      </w:r>
      <w:r w:rsidR="003577A5">
        <w:rPr>
          <w:color w:val="FF0000"/>
          <w:lang w:val="en-GB"/>
        </w:rPr>
        <w:t>a</w:t>
      </w:r>
      <w:r w:rsidRPr="00F44757">
        <w:rPr>
          <w:color w:val="FF0000"/>
          <w:lang w:val="en-GB"/>
        </w:rPr>
        <w:t xml:space="preserve"> prosecution-EAW: temporary transfer to the issuing MS</w:t>
      </w:r>
      <w:r w:rsidRPr="00F44757">
        <w:rPr>
          <w:rStyle w:val="Funotenzeichen"/>
          <w:rFonts w:eastAsiaTheme="majorEastAsia"/>
          <w:color w:val="FF0000"/>
          <w:lang w:val="en-GB"/>
        </w:rPr>
        <w:footnoteReference w:id="26"/>
      </w:r>
      <w:r w:rsidRPr="00F44757">
        <w:rPr>
          <w:color w:val="FF0000"/>
          <w:lang w:val="en-GB"/>
        </w:rPr>
        <w:t xml:space="preserve"> to be interrogated as a suspect/accused person</w:t>
      </w:r>
      <w:r w:rsidRPr="00F44757">
        <w:rPr>
          <w:rStyle w:val="Funotenzeichen"/>
          <w:rFonts w:eastAsiaTheme="majorEastAsia"/>
          <w:color w:val="FF0000"/>
          <w:lang w:val="en-GB"/>
        </w:rPr>
        <w:footnoteReference w:id="27"/>
      </w:r>
      <w:r w:rsidRPr="00F44757">
        <w:rPr>
          <w:color w:val="FF0000"/>
          <w:lang w:val="en-GB"/>
        </w:rPr>
        <w:t xml:space="preserve"> and interrogating a suspect/accused person by videoconference.</w:t>
      </w:r>
      <w:r w:rsidRPr="00F44757">
        <w:rPr>
          <w:rStyle w:val="Funotenzeichen"/>
          <w:rFonts w:eastAsiaTheme="majorEastAsia"/>
          <w:color w:val="FF0000"/>
          <w:lang w:val="en-GB"/>
        </w:rPr>
        <w:footnoteReference w:id="28"/>
      </w:r>
      <w:r w:rsidRPr="00F44757">
        <w:rPr>
          <w:color w:val="FF0000"/>
          <w:lang w:val="en-GB"/>
        </w:rPr>
        <w:t xml:space="preserve"> </w:t>
      </w:r>
      <w:r w:rsidRPr="00F44757">
        <w:rPr>
          <w:color w:val="FF0000"/>
          <w:u w:val="single"/>
          <w:lang w:val="en-GB"/>
        </w:rPr>
        <w:t>Other investigative measures that can be requested by an EIO, such as search and seizure of evidence or hearing a witness, cannot function as an alternative and are, therefore, out of scope</w:t>
      </w:r>
      <w:r w:rsidRPr="00F44757">
        <w:rPr>
          <w:color w:val="FF0000"/>
          <w:lang w:val="en-GB"/>
        </w:rPr>
        <w:t>.</w:t>
      </w:r>
    </w:p>
    <w:p w14:paraId="0CE47476" w14:textId="77777777" w:rsidR="00B73167" w:rsidRPr="00F44757" w:rsidRDefault="00B73167" w:rsidP="00777A20">
      <w:pPr>
        <w:spacing w:line="360" w:lineRule="auto"/>
        <w:jc w:val="both"/>
        <w:rPr>
          <w:color w:val="FF0000"/>
          <w:lang w:val="en-GB"/>
        </w:rPr>
      </w:pPr>
    </w:p>
    <w:p w14:paraId="335489B7" w14:textId="77777777" w:rsidR="00B73167" w:rsidRPr="00F44757" w:rsidRDefault="00B73167" w:rsidP="00777A20">
      <w:pPr>
        <w:spacing w:line="360" w:lineRule="auto"/>
        <w:jc w:val="both"/>
        <w:rPr>
          <w:color w:val="FF0000"/>
          <w:lang w:val="en-GB"/>
        </w:rPr>
      </w:pPr>
      <w:r w:rsidRPr="00F44757">
        <w:rPr>
          <w:color w:val="FF0000"/>
          <w:lang w:val="en-GB"/>
        </w:rPr>
        <w:t>The three conventions do not as such impinge on the right to liberty of a suspect, accused or convicted person.</w:t>
      </w:r>
      <w:r w:rsidRPr="00F44757">
        <w:rPr>
          <w:rStyle w:val="Funotenzeichen"/>
          <w:rFonts w:eastAsiaTheme="majorEastAsia"/>
          <w:color w:val="FF0000"/>
          <w:lang w:val="en-GB"/>
        </w:rPr>
        <w:footnoteReference w:id="29"/>
      </w:r>
      <w:r w:rsidRPr="00F44757">
        <w:rPr>
          <w:color w:val="FF0000"/>
          <w:lang w:val="en-GB"/>
        </w:rPr>
        <w:t xml:space="preserve"> Like Directive 2014/41, they are included insofar as they offer </w:t>
      </w:r>
      <w:r w:rsidRPr="00F44757">
        <w:rPr>
          <w:i/>
          <w:iCs/>
          <w:color w:val="FF0000"/>
          <w:lang w:val="en-GB"/>
        </w:rPr>
        <w:t>alternatives</w:t>
      </w:r>
      <w:r w:rsidRPr="00F44757">
        <w:rPr>
          <w:color w:val="FF0000"/>
          <w:lang w:val="en-GB"/>
        </w:rPr>
        <w:t xml:space="preserve"> to measures that do involve deprivation of liberty.</w:t>
      </w:r>
    </w:p>
    <w:p w14:paraId="4D3409D2" w14:textId="77777777" w:rsidR="00B73167" w:rsidRPr="00F44757" w:rsidRDefault="00B73167" w:rsidP="00777A20">
      <w:pPr>
        <w:spacing w:line="360" w:lineRule="auto"/>
        <w:jc w:val="both"/>
        <w:rPr>
          <w:color w:val="FF0000"/>
          <w:lang w:val="en-GB"/>
        </w:rPr>
      </w:pPr>
    </w:p>
    <w:p w14:paraId="60699D0C" w14:textId="65FBF628" w:rsidR="00B73167" w:rsidRPr="00F44757" w:rsidRDefault="00B73167" w:rsidP="00777A20">
      <w:pPr>
        <w:spacing w:line="360" w:lineRule="auto"/>
        <w:jc w:val="both"/>
        <w:rPr>
          <w:color w:val="FF0000"/>
          <w:lang w:val="en-GB"/>
        </w:rPr>
      </w:pPr>
      <w:r w:rsidRPr="00F44757">
        <w:rPr>
          <w:color w:val="FF0000"/>
          <w:lang w:val="en-GB"/>
        </w:rPr>
        <w:t xml:space="preserve">The EU Convention on Mutual Assistance in Criminal Matters is </w:t>
      </w:r>
      <w:r w:rsidR="00DD767B" w:rsidRPr="00F44757">
        <w:rPr>
          <w:color w:val="FF0000"/>
          <w:lang w:val="en-GB"/>
        </w:rPr>
        <w:t xml:space="preserve">only </w:t>
      </w:r>
      <w:r w:rsidRPr="00F44757">
        <w:rPr>
          <w:color w:val="FF0000"/>
          <w:lang w:val="en-GB"/>
        </w:rPr>
        <w:t>included</w:t>
      </w:r>
      <w:r w:rsidR="00DD767B" w:rsidRPr="00F44757">
        <w:rPr>
          <w:color w:val="FF0000"/>
          <w:lang w:val="en-GB"/>
        </w:rPr>
        <w:t xml:space="preserve"> insofar as</w:t>
      </w:r>
      <w:r w:rsidRPr="00F44757">
        <w:rPr>
          <w:color w:val="FF0000"/>
          <w:lang w:val="en-GB"/>
        </w:rPr>
        <w:t xml:space="preserve"> it contains provisions concerning sending to and serving documents on a suspect, accused person or convicted person who resides abroad.</w:t>
      </w:r>
      <w:r w:rsidRPr="00F44757">
        <w:rPr>
          <w:rStyle w:val="Funotenzeichen"/>
          <w:rFonts w:eastAsiaTheme="majorEastAsia"/>
          <w:color w:val="FF0000"/>
          <w:lang w:val="en-GB"/>
        </w:rPr>
        <w:footnoteReference w:id="30"/>
      </w:r>
      <w:r w:rsidRPr="00F44757">
        <w:rPr>
          <w:color w:val="FF0000"/>
          <w:lang w:val="en-GB"/>
        </w:rPr>
        <w:t xml:space="preserve"> Summoning a suspect to an interrogation, an accused person to his trial or a convicted person to report to prison to undergo a sentence may already </w:t>
      </w:r>
      <w:r w:rsidRPr="00F44757">
        <w:rPr>
          <w:color w:val="FF0000"/>
          <w:lang w:val="en-GB"/>
        </w:rPr>
        <w:lastRenderedPageBreak/>
        <w:t xml:space="preserve">suffice to attain the goal pursued, thus obviating the need for employing forms of judicial cooperation that involve deprivation of liberty.  </w:t>
      </w:r>
    </w:p>
    <w:p w14:paraId="4EBAB471" w14:textId="77777777" w:rsidR="00B73167" w:rsidRPr="00F44757" w:rsidRDefault="00B73167" w:rsidP="00777A20">
      <w:pPr>
        <w:spacing w:line="360" w:lineRule="auto"/>
        <w:jc w:val="both"/>
        <w:rPr>
          <w:color w:val="FF0000"/>
          <w:lang w:val="en-GB"/>
        </w:rPr>
      </w:pPr>
    </w:p>
    <w:p w14:paraId="6BA94025" w14:textId="77777777" w:rsidR="00B73167" w:rsidRPr="00F44757" w:rsidRDefault="00B73167" w:rsidP="00777A20">
      <w:pPr>
        <w:spacing w:line="360" w:lineRule="auto"/>
        <w:jc w:val="both"/>
        <w:rPr>
          <w:color w:val="FF0000"/>
          <w:lang w:val="en-GB"/>
        </w:rPr>
      </w:pPr>
      <w:r w:rsidRPr="00F44757">
        <w:rPr>
          <w:color w:val="FF0000"/>
          <w:lang w:val="en-GB"/>
        </w:rPr>
        <w:t>The CoE European Convention on the Transfer of Proceedings in Criminal Matters is included, because transfer of proceedings can serve as an alternative to surrender on the basis of an EAW or to recognition and enforcement of a sentence.</w:t>
      </w:r>
      <w:r w:rsidRPr="00F44757">
        <w:rPr>
          <w:rStyle w:val="Funotenzeichen"/>
          <w:rFonts w:eastAsiaTheme="majorEastAsia"/>
          <w:color w:val="FF0000"/>
          <w:lang w:val="en-GB"/>
        </w:rPr>
        <w:footnoteReference w:id="31"/>
      </w:r>
    </w:p>
    <w:p w14:paraId="570EB743" w14:textId="77777777" w:rsidR="00B73167" w:rsidRPr="00F44757" w:rsidRDefault="00B73167" w:rsidP="00777A20">
      <w:pPr>
        <w:spacing w:line="360" w:lineRule="auto"/>
        <w:jc w:val="both"/>
        <w:rPr>
          <w:color w:val="FF0000"/>
          <w:lang w:val="en-GB"/>
        </w:rPr>
      </w:pPr>
    </w:p>
    <w:p w14:paraId="6A996DDD" w14:textId="74E4E394" w:rsidR="00B73167" w:rsidRPr="00F44757" w:rsidRDefault="00B73167" w:rsidP="00777A20">
      <w:pPr>
        <w:spacing w:line="360" w:lineRule="auto"/>
        <w:jc w:val="both"/>
        <w:rPr>
          <w:color w:val="FF0000"/>
          <w:lang w:val="en-GB"/>
        </w:rPr>
      </w:pPr>
      <w:r w:rsidRPr="00F44757">
        <w:rPr>
          <w:color w:val="FF0000"/>
          <w:lang w:val="en-GB"/>
        </w:rPr>
        <w:t xml:space="preserve">The CoE </w:t>
      </w:r>
      <w:bookmarkStart w:id="7" w:name="_Hlk143748458"/>
      <w:r w:rsidRPr="00F44757">
        <w:rPr>
          <w:color w:val="FF0000"/>
          <w:lang w:val="en-GB"/>
        </w:rPr>
        <w:t>European Convention on Mutual Assistance in Criminal Matters</w:t>
      </w:r>
      <w:bookmarkEnd w:id="7"/>
      <w:r w:rsidRPr="00F44757">
        <w:rPr>
          <w:color w:val="FF0000"/>
          <w:lang w:val="en-GB"/>
        </w:rPr>
        <w:t xml:space="preserve"> is </w:t>
      </w:r>
      <w:r w:rsidR="00DD767B" w:rsidRPr="00F44757">
        <w:rPr>
          <w:color w:val="FF0000"/>
          <w:lang w:val="en-GB"/>
        </w:rPr>
        <w:t xml:space="preserve">only </w:t>
      </w:r>
      <w:r w:rsidRPr="00F44757">
        <w:rPr>
          <w:color w:val="FF0000"/>
          <w:lang w:val="en-GB"/>
        </w:rPr>
        <w:t>included</w:t>
      </w:r>
      <w:r w:rsidR="00DD767B" w:rsidRPr="00F44757">
        <w:rPr>
          <w:color w:val="FF0000"/>
          <w:lang w:val="en-GB"/>
        </w:rPr>
        <w:t xml:space="preserve"> insofar as</w:t>
      </w:r>
      <w:r w:rsidRPr="00F44757">
        <w:rPr>
          <w:color w:val="FF0000"/>
          <w:lang w:val="en-GB"/>
        </w:rPr>
        <w:t xml:space="preserve"> it offers a mechanism to achieve the result of a transfer of proceedings, without complying with the formalities of the CoE European Convention on the Transfer of Proceedings in Criminal Matters.</w:t>
      </w:r>
      <w:r w:rsidRPr="00F44757">
        <w:rPr>
          <w:rStyle w:val="Funotenzeichen"/>
          <w:rFonts w:eastAsiaTheme="majorEastAsia"/>
          <w:color w:val="FF0000"/>
          <w:lang w:val="en-GB"/>
        </w:rPr>
        <w:footnoteReference w:id="32"/>
      </w:r>
      <w:r w:rsidRPr="00F44757">
        <w:rPr>
          <w:color w:val="FF0000"/>
          <w:lang w:val="en-GB"/>
        </w:rPr>
        <w:t xml:space="preserve"> Moreover, not all Member States have ratified the CoE European Convention on the Transfer of Proceedings in Criminal Matters.</w:t>
      </w:r>
      <w:r w:rsidRPr="00F44757">
        <w:rPr>
          <w:rStyle w:val="Funotenzeichen"/>
          <w:rFonts w:eastAsiaTheme="majorEastAsia"/>
          <w:color w:val="FF0000"/>
          <w:lang w:val="en-GB"/>
        </w:rPr>
        <w:footnoteReference w:id="33"/>
      </w:r>
    </w:p>
    <w:p w14:paraId="518FA40F" w14:textId="77777777" w:rsidR="00DD767B" w:rsidRPr="00F44757" w:rsidRDefault="00DD767B" w:rsidP="00777A20">
      <w:pPr>
        <w:spacing w:line="360" w:lineRule="auto"/>
        <w:jc w:val="both"/>
        <w:rPr>
          <w:color w:val="FF0000"/>
          <w:lang w:val="en-GB"/>
        </w:rPr>
      </w:pPr>
    </w:p>
    <w:p w14:paraId="5E2C8985" w14:textId="22859251" w:rsidR="00DD767B" w:rsidRPr="00F44757" w:rsidRDefault="00DD767B" w:rsidP="00777A20">
      <w:pPr>
        <w:spacing w:line="360" w:lineRule="auto"/>
        <w:jc w:val="both"/>
        <w:rPr>
          <w:color w:val="FF0000"/>
          <w:lang w:val="en-GB"/>
        </w:rPr>
      </w:pPr>
      <w:r w:rsidRPr="00F44757">
        <w:rPr>
          <w:color w:val="FF0000"/>
          <w:lang w:val="en-GB"/>
        </w:rPr>
        <w:t xml:space="preserve">The Protocol to the EU Convention on Mutual Assistance in Criminal Matters nor the Additional Protocols to the CoE Convention on Mutual Assistance in Criminal Matters are included. They do not contain forms of judicial cooperation that can serve as alternatives to measures involving deprivation of liberty. </w:t>
      </w:r>
    </w:p>
    <w:p w14:paraId="1B18A00A" w14:textId="77777777" w:rsidR="00B73167" w:rsidRPr="00F44757" w:rsidRDefault="00B73167" w:rsidP="00777A20">
      <w:pPr>
        <w:spacing w:line="360" w:lineRule="auto"/>
        <w:jc w:val="both"/>
        <w:rPr>
          <w:color w:val="FF0000"/>
          <w:lang w:val="en-GB"/>
        </w:rPr>
      </w:pPr>
    </w:p>
    <w:p w14:paraId="3FA48033" w14:textId="7E21AC4D" w:rsidR="00AC61BB" w:rsidRPr="00F44757" w:rsidRDefault="00AC61BB" w:rsidP="00777A20">
      <w:pPr>
        <w:spacing w:line="360" w:lineRule="auto"/>
        <w:jc w:val="both"/>
        <w:rPr>
          <w:color w:val="FF0000"/>
          <w:lang w:val="en-GB"/>
        </w:rPr>
      </w:pPr>
      <w:r w:rsidRPr="00F44757">
        <w:rPr>
          <w:color w:val="FF0000"/>
          <w:lang w:val="en-GB"/>
        </w:rPr>
        <w:t>It should be recalled that the provisions of the EU Convention on Mutual Assistance in Criminal Matters</w:t>
      </w:r>
      <w:r w:rsidR="00D31C9E" w:rsidRPr="00F44757">
        <w:rPr>
          <w:color w:val="FF0000"/>
          <w:lang w:val="en-GB"/>
        </w:rPr>
        <w:t xml:space="preserve"> and</w:t>
      </w:r>
      <w:r w:rsidRPr="00F44757">
        <w:rPr>
          <w:color w:val="FF0000"/>
          <w:lang w:val="en-GB"/>
        </w:rPr>
        <w:t xml:space="preserve"> </w:t>
      </w:r>
      <w:r w:rsidR="00D31C9E" w:rsidRPr="00F44757">
        <w:rPr>
          <w:color w:val="FF0000"/>
          <w:lang w:val="en-GB"/>
        </w:rPr>
        <w:t>the CoE European Convention on Mutual Assistance in Criminal Matters that are relevant to this project, were not replaced by the directive on the EIO (Directive 2014/41/EU).</w:t>
      </w:r>
      <w:r w:rsidR="00D31C9E" w:rsidRPr="00F44757">
        <w:rPr>
          <w:rStyle w:val="Funotenzeichen"/>
          <w:color w:val="FF0000"/>
          <w:lang w:val="en-GB"/>
        </w:rPr>
        <w:footnoteReference w:id="34"/>
      </w:r>
    </w:p>
    <w:p w14:paraId="1AC05090" w14:textId="77777777" w:rsidR="00B73167" w:rsidRDefault="00B73167" w:rsidP="00777A20">
      <w:pPr>
        <w:pStyle w:val="berschrift2"/>
        <w:ind w:left="567" w:firstLine="0"/>
        <w:rPr>
          <w:lang w:val="en-GB"/>
        </w:rPr>
      </w:pPr>
      <w:bookmarkStart w:id="8" w:name="_Toc147328912"/>
      <w:bookmarkStart w:id="9" w:name="_Toc147328946"/>
      <w:bookmarkStart w:id="10" w:name="_Toc147329058"/>
      <w:bookmarkStart w:id="11" w:name="_Toc170228488"/>
      <w:r>
        <w:rPr>
          <w:lang w:val="en-GB"/>
        </w:rPr>
        <w:t>Transposition of EU instruments</w:t>
      </w:r>
      <w:bookmarkEnd w:id="8"/>
      <w:bookmarkEnd w:id="9"/>
      <w:bookmarkEnd w:id="10"/>
      <w:bookmarkEnd w:id="11"/>
    </w:p>
    <w:p w14:paraId="5EDF6F3D" w14:textId="7A77F931" w:rsidR="00B73167" w:rsidRPr="00353C2A" w:rsidRDefault="00B73167" w:rsidP="00777A20">
      <w:pPr>
        <w:numPr>
          <w:ilvl w:val="0"/>
          <w:numId w:val="10"/>
        </w:numPr>
        <w:spacing w:line="360" w:lineRule="auto"/>
        <w:ind w:left="1843" w:hanging="425"/>
        <w:contextualSpacing/>
        <w:jc w:val="both"/>
        <w:rPr>
          <w:kern w:val="2"/>
          <w:lang w:val="en-GB"/>
          <w14:ligatures w14:val="standardContextual"/>
        </w:rPr>
      </w:pPr>
      <w:bookmarkStart w:id="12" w:name="_Hlk149114351"/>
      <w:bookmarkStart w:id="13" w:name="_Hlk140218164"/>
      <w:r w:rsidRPr="00353C2A">
        <w:rPr>
          <w:kern w:val="2"/>
          <w:lang w:val="en-GB"/>
          <w14:ligatures w14:val="standardContextual"/>
        </w:rPr>
        <w:t>F</w:t>
      </w:r>
      <w:r w:rsidR="004054D0">
        <w:rPr>
          <w:kern w:val="2"/>
          <w:lang w:val="en-GB"/>
          <w14:ligatures w14:val="standardContextual"/>
        </w:rPr>
        <w:t>D</w:t>
      </w:r>
      <w:r w:rsidRPr="00353C2A">
        <w:rPr>
          <w:kern w:val="2"/>
          <w:lang w:val="en-GB"/>
          <w14:ligatures w14:val="standardContextual"/>
        </w:rPr>
        <w:t xml:space="preserve"> 2002/584/JHA</w:t>
      </w:r>
      <w:bookmarkEnd w:id="12"/>
      <w:r w:rsidR="00BC2662">
        <w:rPr>
          <w:kern w:val="2"/>
          <w:lang w:val="en-GB"/>
          <w14:ligatures w14:val="standardContextual"/>
        </w:rPr>
        <w:t>;</w:t>
      </w:r>
    </w:p>
    <w:p w14:paraId="3CBB6994" w14:textId="5B349F8A" w:rsidR="00B73167" w:rsidRPr="00353C2A" w:rsidRDefault="00B73167" w:rsidP="00777A20">
      <w:pPr>
        <w:numPr>
          <w:ilvl w:val="0"/>
          <w:numId w:val="10"/>
        </w:numPr>
        <w:spacing w:line="360" w:lineRule="auto"/>
        <w:ind w:left="1843" w:hanging="425"/>
        <w:contextualSpacing/>
        <w:jc w:val="both"/>
        <w:rPr>
          <w:kern w:val="2"/>
          <w:lang w:val="en-GB"/>
          <w14:ligatures w14:val="standardContextual"/>
        </w:rPr>
      </w:pPr>
      <w:r w:rsidRPr="00353C2A">
        <w:rPr>
          <w:kern w:val="2"/>
          <w:lang w:val="en-GB"/>
          <w14:ligatures w14:val="standardContextual"/>
        </w:rPr>
        <w:t>FD 2008/909/JHA</w:t>
      </w:r>
      <w:r w:rsidR="00BC2662">
        <w:rPr>
          <w:kern w:val="2"/>
          <w:lang w:val="en-GB"/>
          <w14:ligatures w14:val="standardContextual"/>
        </w:rPr>
        <w:t>;</w:t>
      </w:r>
    </w:p>
    <w:p w14:paraId="7CCE1440" w14:textId="521A62B5" w:rsidR="00B73167" w:rsidRPr="00353C2A" w:rsidRDefault="00B73167" w:rsidP="00777A20">
      <w:pPr>
        <w:numPr>
          <w:ilvl w:val="0"/>
          <w:numId w:val="10"/>
        </w:numPr>
        <w:spacing w:line="360" w:lineRule="auto"/>
        <w:ind w:left="1843" w:hanging="425"/>
        <w:contextualSpacing/>
        <w:jc w:val="both"/>
        <w:rPr>
          <w:kern w:val="2"/>
          <w:lang w:val="en-GB"/>
          <w14:ligatures w14:val="standardContextual"/>
        </w:rPr>
      </w:pPr>
      <w:r w:rsidRPr="00353C2A">
        <w:rPr>
          <w:kern w:val="2"/>
          <w:lang w:val="en-GB"/>
          <w14:ligatures w14:val="standardContextual"/>
        </w:rPr>
        <w:t>FD 2008/947/JHA</w:t>
      </w:r>
      <w:r w:rsidR="00BC2662">
        <w:rPr>
          <w:kern w:val="2"/>
          <w:lang w:val="en-GB"/>
          <w14:ligatures w14:val="standardContextual"/>
        </w:rPr>
        <w:t>;</w:t>
      </w:r>
    </w:p>
    <w:p w14:paraId="08EBD204" w14:textId="3DB203D2" w:rsidR="00B73167" w:rsidRPr="00353C2A" w:rsidRDefault="00B73167" w:rsidP="00777A20">
      <w:pPr>
        <w:numPr>
          <w:ilvl w:val="0"/>
          <w:numId w:val="10"/>
        </w:numPr>
        <w:spacing w:line="360" w:lineRule="auto"/>
        <w:ind w:left="1843" w:hanging="425"/>
        <w:contextualSpacing/>
        <w:jc w:val="both"/>
        <w:rPr>
          <w:kern w:val="2"/>
          <w:lang w:val="en-GB"/>
          <w14:ligatures w14:val="standardContextual"/>
        </w:rPr>
      </w:pPr>
      <w:r w:rsidRPr="00353C2A">
        <w:rPr>
          <w:kern w:val="2"/>
          <w:lang w:val="en-GB"/>
          <w14:ligatures w14:val="standardContextual"/>
        </w:rPr>
        <w:lastRenderedPageBreak/>
        <w:t>FD 2009/829/JHA</w:t>
      </w:r>
      <w:r w:rsidR="00BC2662">
        <w:rPr>
          <w:kern w:val="2"/>
          <w:lang w:val="en-GB"/>
          <w14:ligatures w14:val="standardContextual"/>
        </w:rPr>
        <w:t>;</w:t>
      </w:r>
    </w:p>
    <w:p w14:paraId="59E4932E" w14:textId="7F26994E" w:rsidR="00B73167" w:rsidRDefault="00B73167" w:rsidP="00777A20">
      <w:pPr>
        <w:numPr>
          <w:ilvl w:val="0"/>
          <w:numId w:val="10"/>
        </w:numPr>
        <w:spacing w:line="360" w:lineRule="auto"/>
        <w:ind w:left="1843" w:hanging="425"/>
        <w:contextualSpacing/>
        <w:jc w:val="both"/>
        <w:rPr>
          <w:kern w:val="2"/>
          <w:lang w:val="en-GB"/>
          <w14:ligatures w14:val="standardContextual"/>
        </w:rPr>
      </w:pPr>
      <w:bookmarkStart w:id="14" w:name="_Hlk149114928"/>
      <w:r w:rsidRPr="00353C2A">
        <w:rPr>
          <w:kern w:val="2"/>
          <w:lang w:val="en-GB"/>
          <w14:ligatures w14:val="standardContextual"/>
        </w:rPr>
        <w:t>Directive 2014/41/EU</w:t>
      </w:r>
      <w:bookmarkEnd w:id="13"/>
      <w:bookmarkEnd w:id="14"/>
      <w:r w:rsidR="00EE116B">
        <w:rPr>
          <w:kern w:val="2"/>
          <w:lang w:val="en-GB"/>
          <w14:ligatures w14:val="standardContextual"/>
        </w:rPr>
        <w:t>.</w:t>
      </w:r>
      <w:r w:rsidR="00EE116B">
        <w:rPr>
          <w:rStyle w:val="Funotenzeichen"/>
          <w:kern w:val="2"/>
          <w:lang w:val="en-GB"/>
          <w14:ligatures w14:val="standardContextual"/>
        </w:rPr>
        <w:footnoteReference w:id="35"/>
      </w:r>
    </w:p>
    <w:p w14:paraId="30EF409A" w14:textId="77777777" w:rsidR="00B73167" w:rsidRPr="00353C2A" w:rsidRDefault="00B73167" w:rsidP="00777A20">
      <w:pPr>
        <w:spacing w:line="360" w:lineRule="auto"/>
        <w:contextualSpacing/>
        <w:jc w:val="both"/>
        <w:rPr>
          <w:kern w:val="2"/>
          <w:lang w:val="en-GB"/>
          <w14:ligatures w14:val="standardContextual"/>
        </w:rPr>
      </w:pPr>
    </w:p>
    <w:p w14:paraId="658E1535" w14:textId="23D3E720" w:rsidR="00B73167" w:rsidRDefault="00B73167" w:rsidP="00777A20">
      <w:pPr>
        <w:spacing w:line="360" w:lineRule="auto"/>
        <w:jc w:val="both"/>
        <w:rPr>
          <w:color w:val="FF0000"/>
          <w:lang w:val="en-GB"/>
        </w:rPr>
      </w:pPr>
      <w:r w:rsidRPr="00353C2A">
        <w:rPr>
          <w:color w:val="FF0000"/>
          <w:lang w:val="en-GB"/>
        </w:rPr>
        <w:t>Explain for each of these instruments whether your MS transposed them and, if so, whether in separate laws or as a part of the Code of Criminal Procedure.</w:t>
      </w:r>
      <w:r w:rsidR="001E05F1">
        <w:rPr>
          <w:rStyle w:val="Funotenzeichen"/>
          <w:color w:val="FF0000"/>
          <w:lang w:val="en-GB"/>
        </w:rPr>
        <w:footnoteReference w:id="36"/>
      </w:r>
    </w:p>
    <w:p w14:paraId="16D0741D" w14:textId="77777777" w:rsidR="00B73167" w:rsidRPr="00B73167" w:rsidRDefault="00B73167" w:rsidP="00777A20">
      <w:pPr>
        <w:spacing w:line="360" w:lineRule="auto"/>
        <w:jc w:val="both"/>
        <w:rPr>
          <w:color w:val="FF0000"/>
          <w:lang w:val="en-GB"/>
        </w:rPr>
      </w:pPr>
    </w:p>
    <w:p w14:paraId="5603388D" w14:textId="7BD4FFF7" w:rsidR="00B73167" w:rsidRPr="00402C17" w:rsidRDefault="00B73167" w:rsidP="00777A20">
      <w:pPr>
        <w:spacing w:line="360" w:lineRule="auto"/>
        <w:jc w:val="both"/>
        <w:rPr>
          <w:color w:val="FF0000"/>
        </w:rPr>
      </w:pPr>
      <w:r w:rsidRPr="00353C2A">
        <w:rPr>
          <w:color w:val="FF0000"/>
          <w:lang w:val="en-GB"/>
        </w:rPr>
        <w:t>On 5 April 2023, the European Commission submitted a proposal for a regulation of the European Parliament and of the Council on the transfer of proceedings in criminal matters</w:t>
      </w:r>
      <w:r w:rsidR="007477DE">
        <w:rPr>
          <w:color w:val="FF0000"/>
          <w:lang w:val="en-GB"/>
        </w:rPr>
        <w:t>, which was adopted by the Council of the European Union on November 5, 2024</w:t>
      </w:r>
      <w:r w:rsidR="00315D5C">
        <w:rPr>
          <w:color w:val="FF0000"/>
          <w:lang w:val="en-GB"/>
        </w:rPr>
        <w:t>.</w:t>
      </w:r>
      <w:r w:rsidRPr="00353C2A">
        <w:rPr>
          <w:color w:val="FF0000"/>
          <w:vertAlign w:val="superscript"/>
          <w:lang w:val="en-GB"/>
        </w:rPr>
        <w:footnoteReference w:id="37"/>
      </w:r>
      <w:r w:rsidRPr="00353C2A">
        <w:rPr>
          <w:lang w:val="en-GB"/>
        </w:rPr>
        <w:t xml:space="preserve"> </w:t>
      </w:r>
      <w:r w:rsidRPr="00353C2A">
        <w:rPr>
          <w:color w:val="FF0000"/>
          <w:lang w:val="en-GB"/>
        </w:rPr>
        <w:t xml:space="preserve">This </w:t>
      </w:r>
      <w:r w:rsidR="007477DE">
        <w:rPr>
          <w:color w:val="FF0000"/>
          <w:lang w:val="en-GB"/>
        </w:rPr>
        <w:t>regulation</w:t>
      </w:r>
      <w:r w:rsidR="007477DE" w:rsidRPr="00353C2A">
        <w:rPr>
          <w:color w:val="FF0000"/>
          <w:lang w:val="en-GB"/>
        </w:rPr>
        <w:t xml:space="preserve"> </w:t>
      </w:r>
      <w:r w:rsidRPr="00353C2A">
        <w:rPr>
          <w:color w:val="FF0000"/>
          <w:lang w:val="en-GB"/>
        </w:rPr>
        <w:t>will not be included in the country reports but the NARs will address</w:t>
      </w:r>
      <w:r w:rsidRPr="00353C2A">
        <w:rPr>
          <w:lang w:val="en-GB"/>
        </w:rPr>
        <w:t xml:space="preserve"> </w:t>
      </w:r>
      <w:r w:rsidRPr="00353C2A">
        <w:rPr>
          <w:color w:val="FF0000"/>
          <w:lang w:val="en-GB"/>
        </w:rPr>
        <w:t xml:space="preserve">the relevance of this </w:t>
      </w:r>
      <w:r w:rsidR="007477DE">
        <w:rPr>
          <w:color w:val="FF0000"/>
          <w:lang w:val="en-GB"/>
        </w:rPr>
        <w:t>regulation</w:t>
      </w:r>
      <w:r w:rsidR="007477DE" w:rsidRPr="00353C2A">
        <w:rPr>
          <w:color w:val="FF0000"/>
          <w:lang w:val="en-GB"/>
        </w:rPr>
        <w:t xml:space="preserve"> </w:t>
      </w:r>
      <w:r w:rsidRPr="00353C2A">
        <w:rPr>
          <w:color w:val="FF0000"/>
          <w:lang w:val="en-GB"/>
        </w:rPr>
        <w:t>for effective and coherent application of the existing instruments in their analysis in the separate memorandum</w:t>
      </w:r>
      <w:r>
        <w:rPr>
          <w:color w:val="FF0000"/>
          <w:lang w:val="en-GB"/>
        </w:rPr>
        <w:t>.</w:t>
      </w:r>
    </w:p>
    <w:p w14:paraId="549D6605" w14:textId="77777777" w:rsidR="00B73167" w:rsidRDefault="00B73167" w:rsidP="00777A20">
      <w:pPr>
        <w:spacing w:line="360" w:lineRule="auto"/>
        <w:jc w:val="both"/>
        <w:rPr>
          <w:color w:val="FF0000"/>
          <w:lang w:val="en-GB"/>
        </w:rPr>
      </w:pPr>
    </w:p>
    <w:p w14:paraId="1541A0CD" w14:textId="2C0CE92A" w:rsidR="00514FA2" w:rsidRDefault="00514FA2" w:rsidP="00777A20">
      <w:pPr>
        <w:spacing w:line="360" w:lineRule="auto"/>
        <w:jc w:val="both"/>
        <w:rPr>
          <w:lang w:val="en-GB"/>
        </w:rPr>
      </w:pPr>
      <w:r>
        <w:rPr>
          <w:lang w:val="en-GB"/>
        </w:rPr>
        <w:t>The aforementioned cooperation instruments have been transposed into German law and form part of the Act on International Cooperation in Criminal Matters – AICCM</w:t>
      </w:r>
      <w:r w:rsidR="00186B6C">
        <w:rPr>
          <w:rStyle w:val="Funotenzeichen"/>
          <w:lang w:val="en-GB"/>
        </w:rPr>
        <w:footnoteReference w:id="38"/>
      </w:r>
      <w:r>
        <w:rPr>
          <w:lang w:val="en-GB"/>
        </w:rPr>
        <w:t xml:space="preserve">. The </w:t>
      </w:r>
      <w:r w:rsidR="0057034F">
        <w:rPr>
          <w:lang w:val="en-GB"/>
        </w:rPr>
        <w:t>current discussion on a reform of this Act has triggered a discussion on whether cross-border cooperation within the Union should be regulated in a separate statute, but the prevailing opinion preferred a comprehensive statute on international cooperation in criminal matters, be it with Member States or third countries.</w:t>
      </w:r>
      <w:r w:rsidR="00402C17">
        <w:rPr>
          <w:lang w:val="en-GB"/>
        </w:rPr>
        <w:t xml:space="preserve"> </w:t>
      </w:r>
      <w:r w:rsidR="006C5B2A">
        <w:rPr>
          <w:lang w:val="en-GB"/>
        </w:rPr>
        <w:t xml:space="preserve">In September 2024, the Federal Ministry of Justice published </w:t>
      </w:r>
      <w:r w:rsidR="006C5B2A">
        <w:t>t</w:t>
      </w:r>
      <w:r w:rsidR="001E05E2">
        <w:t xml:space="preserve">he draft bill for this reform </w:t>
      </w:r>
      <w:r w:rsidR="006C5B2A">
        <w:t xml:space="preserve">that </w:t>
      </w:r>
      <w:r w:rsidR="001E05E2">
        <w:t xml:space="preserve">includes provisions for </w:t>
      </w:r>
      <w:r w:rsidR="006C5B2A">
        <w:t>cross border</w:t>
      </w:r>
      <w:r w:rsidR="001E05E2">
        <w:t xml:space="preserve"> cooperation both within the European Union (</w:t>
      </w:r>
      <w:r w:rsidR="00721610">
        <w:t>p</w:t>
      </w:r>
      <w:r w:rsidR="001E05E2">
        <w:t>art 3) and with third countries (</w:t>
      </w:r>
      <w:r w:rsidR="00721610">
        <w:t>p</w:t>
      </w:r>
      <w:r w:rsidR="001E05E2">
        <w:t xml:space="preserve">art 2). However, given the current political situation in Germany, it remains uncertain whether, and if so, when these proposed changes will be </w:t>
      </w:r>
      <w:r w:rsidR="006C5B2A">
        <w:t>adopted</w:t>
      </w:r>
      <w:r w:rsidR="001E05E2">
        <w:t>.</w:t>
      </w:r>
      <w:r w:rsidR="001744F7">
        <w:rPr>
          <w:rStyle w:val="Funotenzeichen"/>
          <w:lang w:val="en-GB"/>
        </w:rPr>
        <w:footnoteReference w:id="39"/>
      </w:r>
    </w:p>
    <w:p w14:paraId="191383CA" w14:textId="75C3A99A" w:rsidR="003B1D89" w:rsidRDefault="00514FA2" w:rsidP="00777A20">
      <w:pPr>
        <w:spacing w:line="360" w:lineRule="auto"/>
        <w:jc w:val="both"/>
        <w:rPr>
          <w:lang w:val="en-GB"/>
        </w:rPr>
      </w:pPr>
      <w:r>
        <w:rPr>
          <w:lang w:val="en-GB"/>
        </w:rPr>
        <w:lastRenderedPageBreak/>
        <w:t xml:space="preserve">(a) FD 2002/584/JHA </w:t>
      </w:r>
      <w:r w:rsidR="00B66552">
        <w:rPr>
          <w:lang w:val="en-GB"/>
        </w:rPr>
        <w:t>has been transposed into part 8 (sections 78 to 83j) of the AICCM. After the Constitutional Court had declared the first implementation act</w:t>
      </w:r>
      <w:r w:rsidR="00B66552">
        <w:rPr>
          <w:rStyle w:val="Funotenzeichen"/>
          <w:lang w:val="en-GB"/>
        </w:rPr>
        <w:footnoteReference w:id="40"/>
      </w:r>
      <w:r w:rsidR="00B66552">
        <w:rPr>
          <w:lang w:val="en-GB"/>
        </w:rPr>
        <w:t xml:space="preserve"> null and void</w:t>
      </w:r>
      <w:r w:rsidR="006806BA">
        <w:rPr>
          <w:rStyle w:val="Funotenzeichen"/>
          <w:lang w:val="en-GB"/>
        </w:rPr>
        <w:footnoteReference w:id="41"/>
      </w:r>
      <w:r w:rsidR="006806BA">
        <w:rPr>
          <w:lang w:val="en-GB"/>
        </w:rPr>
        <w:t>, the German legislator had to adopt a new act on the EAW</w:t>
      </w:r>
      <w:r w:rsidR="006806BA">
        <w:rPr>
          <w:rStyle w:val="Funotenzeichen"/>
          <w:lang w:val="en-GB"/>
        </w:rPr>
        <w:footnoteReference w:id="42"/>
      </w:r>
      <w:r w:rsidR="006806BA">
        <w:rPr>
          <w:lang w:val="en-GB"/>
        </w:rPr>
        <w:t>.</w:t>
      </w:r>
      <w:r w:rsidR="00093791">
        <w:rPr>
          <w:lang w:val="en-GB"/>
        </w:rPr>
        <w:t xml:space="preserve"> </w:t>
      </w:r>
      <w:r w:rsidR="006B5D11">
        <w:rPr>
          <w:lang w:val="en-GB"/>
        </w:rPr>
        <w:t xml:space="preserve">According to the ruling of the Constitutional Court, the constitutional ban on extradition of German citizens (Art. 16(2) Basic Law – BL) </w:t>
      </w:r>
      <w:r w:rsidR="00991F06">
        <w:rPr>
          <w:lang w:val="en-GB"/>
        </w:rPr>
        <w:t>requires</w:t>
      </w:r>
      <w:r w:rsidR="006B5D11">
        <w:rPr>
          <w:lang w:val="en-GB"/>
        </w:rPr>
        <w:t xml:space="preserve"> the German legislator to transpose the optional ground for refusal under Art. 4 No. 7 lit. a FD EAW as a mandatory one as far as surrender of German citizens is concerned.</w:t>
      </w:r>
      <w:r w:rsidR="006B5D11">
        <w:rPr>
          <w:rStyle w:val="Funotenzeichen"/>
          <w:lang w:val="en-GB"/>
        </w:rPr>
        <w:footnoteReference w:id="43"/>
      </w:r>
      <w:r w:rsidR="006B5D11">
        <w:rPr>
          <w:lang w:val="en-GB"/>
        </w:rPr>
        <w:t xml:space="preserve"> </w:t>
      </w:r>
      <w:r w:rsidR="006C5B2A">
        <w:rPr>
          <w:lang w:val="en-GB"/>
        </w:rPr>
        <w:t xml:space="preserve">According to </w:t>
      </w:r>
      <w:r w:rsidR="003B1D89">
        <w:rPr>
          <w:lang w:val="en-GB"/>
        </w:rPr>
        <w:t xml:space="preserve">the draft bill </w:t>
      </w:r>
      <w:r w:rsidR="006C5B2A">
        <w:rPr>
          <w:lang w:val="en-GB"/>
        </w:rPr>
        <w:t>on the</w:t>
      </w:r>
      <w:r w:rsidR="003B1D89">
        <w:rPr>
          <w:lang w:val="en-GB"/>
        </w:rPr>
        <w:t xml:space="preserve"> reform of the AICCM</w:t>
      </w:r>
      <w:r w:rsidR="006C5B2A">
        <w:rPr>
          <w:lang w:val="en-GB"/>
        </w:rPr>
        <w:t>,</w:t>
      </w:r>
      <w:r w:rsidR="003B1D89">
        <w:rPr>
          <w:lang w:val="en-GB"/>
        </w:rPr>
        <w:t xml:space="preserve"> the executing authority </w:t>
      </w:r>
      <w:r w:rsidR="006C5B2A">
        <w:rPr>
          <w:lang w:val="en-GB"/>
        </w:rPr>
        <w:t>shall have</w:t>
      </w:r>
      <w:r w:rsidR="003B1D89">
        <w:rPr>
          <w:lang w:val="en-GB"/>
        </w:rPr>
        <w:t xml:space="preserve"> the discretion required under the FD</w:t>
      </w:r>
      <w:r w:rsidR="00CF7676">
        <w:rPr>
          <w:lang w:val="en-GB"/>
        </w:rPr>
        <w:t xml:space="preserve">, </w:t>
      </w:r>
      <w:r w:rsidR="00641F94">
        <w:rPr>
          <w:lang w:val="en-GB"/>
        </w:rPr>
        <w:t>yet</w:t>
      </w:r>
      <w:r w:rsidR="00C90CD4">
        <w:rPr>
          <w:lang w:val="en-GB"/>
        </w:rPr>
        <w:t xml:space="preserve"> </w:t>
      </w:r>
      <w:r w:rsidR="00CF7676">
        <w:rPr>
          <w:lang w:val="en-GB"/>
        </w:rPr>
        <w:t xml:space="preserve">Art. 16(2) Basic Law must be taken into account in the exercise of </w:t>
      </w:r>
      <w:r w:rsidR="00C11121">
        <w:rPr>
          <w:lang w:val="en-GB"/>
        </w:rPr>
        <w:t xml:space="preserve">this </w:t>
      </w:r>
      <w:r w:rsidR="00CF7676">
        <w:rPr>
          <w:lang w:val="en-GB"/>
        </w:rPr>
        <w:t>discretion on a case-by-case basis</w:t>
      </w:r>
      <w:r w:rsidR="00C11121">
        <w:rPr>
          <w:lang w:val="en-GB"/>
        </w:rPr>
        <w:t xml:space="preserve">, which </w:t>
      </w:r>
      <w:r w:rsidR="00E2110A">
        <w:rPr>
          <w:lang w:val="en-GB"/>
        </w:rPr>
        <w:t xml:space="preserve">may be significantly limited </w:t>
      </w:r>
      <w:r w:rsidR="005335F9">
        <w:rPr>
          <w:lang w:val="en-GB"/>
        </w:rPr>
        <w:t>in the case of German citizens.</w:t>
      </w:r>
      <w:r w:rsidR="00CF7676">
        <w:rPr>
          <w:rStyle w:val="Funotenzeichen"/>
          <w:lang w:val="en-GB"/>
        </w:rPr>
        <w:footnoteReference w:id="44"/>
      </w:r>
    </w:p>
    <w:p w14:paraId="0DE88DDA" w14:textId="173389FE" w:rsidR="005664D0" w:rsidRPr="006C5B2A" w:rsidRDefault="00B3463A" w:rsidP="00777A20">
      <w:pPr>
        <w:spacing w:line="360" w:lineRule="auto"/>
        <w:jc w:val="both"/>
        <w:rPr>
          <w:lang w:val="en-GB"/>
        </w:rPr>
      </w:pPr>
      <w:r>
        <w:rPr>
          <w:lang w:val="en-GB"/>
        </w:rPr>
        <w:t xml:space="preserve">The same applies to </w:t>
      </w:r>
      <w:r w:rsidR="006B5D11">
        <w:rPr>
          <w:lang w:val="en-GB"/>
        </w:rPr>
        <w:t xml:space="preserve">the optional ground for refusal (Art. 4 No. </w:t>
      </w:r>
      <w:r>
        <w:rPr>
          <w:lang w:val="en-GB"/>
        </w:rPr>
        <w:t>6 FD EAW) and the return guarantee (Art. 5 No. 3 FD EAW) that explicitly refer to the surrender of the executing state’s nationals.</w:t>
      </w:r>
      <w:r w:rsidR="006C5B2A">
        <w:rPr>
          <w:rStyle w:val="Funotenzeichen"/>
          <w:lang w:val="en-GB"/>
        </w:rPr>
        <w:footnoteReference w:id="45"/>
      </w:r>
      <w:r w:rsidR="00A851B7">
        <w:rPr>
          <w:lang w:val="en-GB"/>
        </w:rPr>
        <w:t xml:space="preserve"> </w:t>
      </w:r>
      <w:r w:rsidR="006C5B2A">
        <w:t xml:space="preserve">If the executing authority has refused to surrender the person, Germany will not automatically initiate the enforcement of the sentence, but request the issuing authority to transfer enforcement by sending </w:t>
      </w:r>
      <w:r w:rsidR="006C5B2A" w:rsidRPr="00CA1AF6">
        <w:rPr>
          <w:lang w:val="en-GB"/>
        </w:rPr>
        <w:t>of the FD 2008/909-</w:t>
      </w:r>
      <w:r w:rsidR="006C5B2A" w:rsidRPr="00746630">
        <w:rPr>
          <w:lang w:val="en-GB"/>
        </w:rPr>
        <w:t>certificate</w:t>
      </w:r>
      <w:r w:rsidR="006C5B2A">
        <w:rPr>
          <w:lang w:val="en-GB"/>
        </w:rPr>
        <w:t>.</w:t>
      </w:r>
      <w:r w:rsidR="006C5B2A" w:rsidRPr="006C5B2A">
        <w:rPr>
          <w:rStyle w:val="Funotenzeichen"/>
          <w:lang w:val="en-GB"/>
        </w:rPr>
        <w:t xml:space="preserve"> </w:t>
      </w:r>
      <w:r w:rsidR="006C5B2A">
        <w:rPr>
          <w:rStyle w:val="Funotenzeichen"/>
          <w:lang w:val="en-GB"/>
        </w:rPr>
        <w:footnoteReference w:id="46"/>
      </w:r>
    </w:p>
    <w:p w14:paraId="3E09FCCB" w14:textId="55AD46FB" w:rsidR="005664D0" w:rsidRDefault="005664D0" w:rsidP="00777A20">
      <w:pPr>
        <w:spacing w:line="360" w:lineRule="auto"/>
        <w:jc w:val="both"/>
        <w:rPr>
          <w:lang w:val="en-US"/>
        </w:rPr>
      </w:pPr>
      <w:r>
        <w:rPr>
          <w:lang w:val="en-GB"/>
        </w:rPr>
        <w:t xml:space="preserve">As a consequence, </w:t>
      </w:r>
      <w:r w:rsidRPr="005664D0">
        <w:rPr>
          <w:lang w:val="en-GB"/>
        </w:rPr>
        <w:t>a German national may only be surrendered for the purpose of enforcement (execution of a sentence</w:t>
      </w:r>
      <w:r>
        <w:rPr>
          <w:lang w:val="en-GB"/>
        </w:rPr>
        <w:t>, Art. 6 No. 6 FD EAW</w:t>
      </w:r>
      <w:r w:rsidRPr="005664D0">
        <w:rPr>
          <w:lang w:val="en-GB"/>
        </w:rPr>
        <w:t>) if the person sought has given his</w:t>
      </w:r>
      <w:r w:rsidR="000A52A8">
        <w:rPr>
          <w:rStyle w:val="Funotenzeichen"/>
          <w:lang w:val="en-GB"/>
        </w:rPr>
        <w:footnoteReference w:id="47"/>
      </w:r>
      <w:r w:rsidRPr="005664D0">
        <w:rPr>
          <w:lang w:val="en-GB"/>
        </w:rPr>
        <w:t xml:space="preserve"> consent</w:t>
      </w:r>
      <w:r>
        <w:rPr>
          <w:lang w:val="en-GB"/>
        </w:rPr>
        <w:t xml:space="preserve"> (section 80(3) AICCM)</w:t>
      </w:r>
      <w:r w:rsidRPr="005664D0">
        <w:rPr>
          <w:lang w:val="en-GB"/>
        </w:rPr>
        <w:t xml:space="preserve">. If consent is not given, the enforcement </w:t>
      </w:r>
      <w:r w:rsidR="003D1B53">
        <w:rPr>
          <w:lang w:val="en-GB"/>
        </w:rPr>
        <w:t xml:space="preserve">of the sentence </w:t>
      </w:r>
      <w:r w:rsidRPr="005664D0">
        <w:rPr>
          <w:lang w:val="en-GB"/>
        </w:rPr>
        <w:t xml:space="preserve">in Germany </w:t>
      </w:r>
      <w:r>
        <w:rPr>
          <w:lang w:val="en-GB"/>
        </w:rPr>
        <w:t>is</w:t>
      </w:r>
      <w:r w:rsidRPr="005664D0">
        <w:rPr>
          <w:lang w:val="en-GB"/>
        </w:rPr>
        <w:t xml:space="preserve"> considered as </w:t>
      </w:r>
      <w:r w:rsidR="0082058B">
        <w:rPr>
          <w:lang w:val="en-GB"/>
        </w:rPr>
        <w:t xml:space="preserve">a </w:t>
      </w:r>
      <w:r w:rsidRPr="005664D0">
        <w:rPr>
          <w:lang w:val="en-GB"/>
        </w:rPr>
        <w:t>less intrusive means</w:t>
      </w:r>
      <w:r w:rsidR="003D1B53">
        <w:rPr>
          <w:lang w:val="en-GB"/>
        </w:rPr>
        <w:t xml:space="preserve"> compared to the surrender of the person to another Member State against his will for the purpose of enforcement there</w:t>
      </w:r>
      <w:r w:rsidRPr="005664D0">
        <w:rPr>
          <w:lang w:val="en-GB"/>
        </w:rPr>
        <w:t>.</w:t>
      </w:r>
      <w:r w:rsidRPr="005664D0">
        <w:rPr>
          <w:vertAlign w:val="superscript"/>
          <w:lang w:val="en-GB"/>
        </w:rPr>
        <w:footnoteReference w:id="48"/>
      </w:r>
      <w:r w:rsidR="00A5588B">
        <w:rPr>
          <w:lang w:val="en-GB"/>
        </w:rPr>
        <w:t xml:space="preserve"> If the sentenced person </w:t>
      </w:r>
      <w:r w:rsidR="00A5588B">
        <w:rPr>
          <w:lang w:val="en-GB"/>
        </w:rPr>
        <w:lastRenderedPageBreak/>
        <w:t xml:space="preserve">does not consent, the German authorities will </w:t>
      </w:r>
      <w:r w:rsidR="00A5588B" w:rsidRPr="00A5588B">
        <w:rPr>
          <w:lang w:val="en-GB"/>
        </w:rPr>
        <w:t>request the issuing authority to transfer enforcement by sending of the FD 2008/909-certificate</w:t>
      </w:r>
      <w:r w:rsidR="00A5588B">
        <w:rPr>
          <w:lang w:val="en-GB"/>
        </w:rPr>
        <w:t>.</w:t>
      </w:r>
      <w:r w:rsidR="00A5588B">
        <w:rPr>
          <w:rStyle w:val="Funotenzeichen"/>
          <w:lang w:val="en-GB"/>
        </w:rPr>
        <w:footnoteReference w:id="49"/>
      </w:r>
    </w:p>
    <w:p w14:paraId="601EAD69" w14:textId="77777777" w:rsidR="005664D0" w:rsidRDefault="005664D0" w:rsidP="00777A20">
      <w:pPr>
        <w:spacing w:line="360" w:lineRule="auto"/>
        <w:jc w:val="both"/>
        <w:rPr>
          <w:lang w:val="en-US"/>
        </w:rPr>
      </w:pPr>
    </w:p>
    <w:p w14:paraId="13EF8863" w14:textId="0968921D" w:rsidR="005664D0" w:rsidRPr="00AD2A9D" w:rsidRDefault="005664D0" w:rsidP="005664D0">
      <w:pPr>
        <w:spacing w:line="360" w:lineRule="auto"/>
        <w:jc w:val="both"/>
        <w:rPr>
          <w:lang w:val="en-US"/>
        </w:rPr>
      </w:pPr>
      <w:r w:rsidRPr="005664D0">
        <w:rPr>
          <w:lang w:val="en-GB"/>
        </w:rPr>
        <w:t xml:space="preserve">The rules on surrender of a German national for the purpose </w:t>
      </w:r>
      <w:r w:rsidR="00437A66">
        <w:rPr>
          <w:lang w:val="en-GB"/>
        </w:rPr>
        <w:t xml:space="preserve">of prosecution are more complex. In addition to the mandatory return guarantee (section 80(1) No. 1, (2)1 No. 1 AICCM), the execution of the EAW is subject to the condition that the </w:t>
      </w:r>
      <w:r w:rsidRPr="005664D0">
        <w:rPr>
          <w:lang w:val="en-GB"/>
        </w:rPr>
        <w:t>relevant offence ha</w:t>
      </w:r>
      <w:r w:rsidR="00437A66">
        <w:rPr>
          <w:lang w:val="en-GB"/>
        </w:rPr>
        <w:t>s</w:t>
      </w:r>
      <w:r w:rsidRPr="005664D0">
        <w:rPr>
          <w:lang w:val="en-GB"/>
        </w:rPr>
        <w:t xml:space="preserve"> a substantial link to the issuing state (</w:t>
      </w:r>
      <w:r w:rsidR="00B179DD">
        <w:rPr>
          <w:lang w:val="en-GB"/>
        </w:rPr>
        <w:t>s</w:t>
      </w:r>
      <w:r w:rsidRPr="005664D0">
        <w:rPr>
          <w:lang w:val="en-GB"/>
        </w:rPr>
        <w:t>ection 80(1) No. 2</w:t>
      </w:r>
      <w:r w:rsidR="00437A66">
        <w:rPr>
          <w:lang w:val="en-GB"/>
        </w:rPr>
        <w:t xml:space="preserve"> AICCM</w:t>
      </w:r>
      <w:r w:rsidRPr="005664D0">
        <w:rPr>
          <w:lang w:val="en-GB"/>
        </w:rPr>
        <w:t xml:space="preserve">). If there is no such link to the issuing Member State, </w:t>
      </w:r>
      <w:r w:rsidR="00B179DD">
        <w:rPr>
          <w:lang w:val="en-GB"/>
        </w:rPr>
        <w:t>s</w:t>
      </w:r>
      <w:r w:rsidRPr="005664D0">
        <w:rPr>
          <w:lang w:val="en-GB"/>
        </w:rPr>
        <w:t>ection 80(2) will apply. The person m</w:t>
      </w:r>
      <w:r w:rsidR="00437A66">
        <w:rPr>
          <w:lang w:val="en-GB"/>
        </w:rPr>
        <w:t>ust</w:t>
      </w:r>
      <w:r w:rsidRPr="005664D0">
        <w:rPr>
          <w:lang w:val="en-GB"/>
        </w:rPr>
        <w:t xml:space="preserve"> not </w:t>
      </w:r>
      <w:r w:rsidR="00437A66">
        <w:rPr>
          <w:lang w:val="en-GB"/>
        </w:rPr>
        <w:t xml:space="preserve">be </w:t>
      </w:r>
      <w:r w:rsidRPr="005664D0">
        <w:rPr>
          <w:lang w:val="en-GB"/>
        </w:rPr>
        <w:t>surrendered if the offence has a substantial link to German territory (</w:t>
      </w:r>
      <w:r w:rsidR="00B179DD">
        <w:rPr>
          <w:lang w:val="en-GB"/>
        </w:rPr>
        <w:t>s</w:t>
      </w:r>
      <w:r w:rsidRPr="005664D0">
        <w:rPr>
          <w:lang w:val="en-GB"/>
        </w:rPr>
        <w:t xml:space="preserve">ection 80(2)1 No. 2 AICCM). Otherwise (so-called </w:t>
      </w:r>
      <w:r w:rsidR="00EA0074">
        <w:rPr>
          <w:lang w:val="en-GB"/>
        </w:rPr>
        <w:t>‘</w:t>
      </w:r>
      <w:r w:rsidRPr="005664D0">
        <w:rPr>
          <w:lang w:val="en-GB"/>
        </w:rPr>
        <w:t>mixed cases</w:t>
      </w:r>
      <w:r w:rsidR="00EA0074">
        <w:rPr>
          <w:lang w:val="en-GB"/>
        </w:rPr>
        <w:t>’</w:t>
      </w:r>
      <w:r w:rsidRPr="005664D0">
        <w:rPr>
          <w:lang w:val="en-GB"/>
        </w:rPr>
        <w:t xml:space="preserve">), </w:t>
      </w:r>
      <w:r w:rsidR="00437A66">
        <w:rPr>
          <w:lang w:val="en-GB"/>
        </w:rPr>
        <w:t>a German</w:t>
      </w:r>
      <w:r w:rsidRPr="005664D0">
        <w:rPr>
          <w:lang w:val="en-GB"/>
        </w:rPr>
        <w:t xml:space="preserve"> national may be surrendered if the double criminality requirement</w:t>
      </w:r>
      <w:r w:rsidR="00437A66">
        <w:rPr>
          <w:lang w:val="en-GB"/>
        </w:rPr>
        <w:t xml:space="preserve"> (Art. 4 No. 1 FD EAW)</w:t>
      </w:r>
      <w:r w:rsidRPr="005664D0">
        <w:rPr>
          <w:lang w:val="en-GB"/>
        </w:rPr>
        <w:t xml:space="preserve"> is met and the interests of the national in his non-extradition do not outweigh the interests of the issuing state (</w:t>
      </w:r>
      <w:r w:rsidR="00EE61F8">
        <w:rPr>
          <w:lang w:val="en-GB"/>
        </w:rPr>
        <w:t>s</w:t>
      </w:r>
      <w:r w:rsidRPr="005664D0">
        <w:rPr>
          <w:lang w:val="en-GB"/>
        </w:rPr>
        <w:t xml:space="preserve">ection 80(2)1 No. 3 AICCM). </w:t>
      </w:r>
      <w:r w:rsidRPr="00AD2A9D">
        <w:rPr>
          <w:lang w:val="en-US"/>
        </w:rPr>
        <w:t xml:space="preserve">When balancing the interests, special regard shall be had to the nature of the offence, the practical requirements and possibilities of an </w:t>
      </w:r>
      <w:r w:rsidR="00437A66" w:rsidRPr="00AD2A9D">
        <w:rPr>
          <w:lang w:val="en-US"/>
        </w:rPr>
        <w:t>effective prosecution and</w:t>
      </w:r>
      <w:r w:rsidRPr="00AD2A9D">
        <w:rPr>
          <w:lang w:val="en-US"/>
        </w:rPr>
        <w:t xml:space="preserve"> the </w:t>
      </w:r>
      <w:r w:rsidR="00437A66" w:rsidRPr="00AD2A9D">
        <w:rPr>
          <w:lang w:val="en-US"/>
        </w:rPr>
        <w:t xml:space="preserve">rights and </w:t>
      </w:r>
      <w:r w:rsidRPr="00AD2A9D">
        <w:rPr>
          <w:lang w:val="en-US"/>
        </w:rPr>
        <w:t>interests of the person sought as (</w:t>
      </w:r>
      <w:r w:rsidR="00AA5183">
        <w:rPr>
          <w:lang w:val="en-GB"/>
        </w:rPr>
        <w:t>s</w:t>
      </w:r>
      <w:r w:rsidRPr="005664D0">
        <w:rPr>
          <w:lang w:val="en-GB"/>
        </w:rPr>
        <w:t>ection</w:t>
      </w:r>
      <w:r w:rsidRPr="00AD2A9D">
        <w:rPr>
          <w:lang w:val="en-US"/>
        </w:rPr>
        <w:t xml:space="preserve"> 80(2)2 AICCM). The wording of the provision is based on the judgment of the </w:t>
      </w:r>
      <w:r w:rsidRPr="005664D0">
        <w:rPr>
          <w:lang w:val="en-GB"/>
        </w:rPr>
        <w:t xml:space="preserve">Federal </w:t>
      </w:r>
      <w:r w:rsidRPr="00AD2A9D">
        <w:rPr>
          <w:lang w:val="en-US"/>
        </w:rPr>
        <w:t>Constitutional Court on the EAW.</w:t>
      </w:r>
      <w:r w:rsidRPr="005664D0">
        <w:rPr>
          <w:vertAlign w:val="superscript"/>
          <w:lang w:val="en-GB"/>
        </w:rPr>
        <w:footnoteReference w:id="50"/>
      </w:r>
    </w:p>
    <w:p w14:paraId="3FDC9B5F" w14:textId="77777777" w:rsidR="00437A66" w:rsidRPr="005664D0" w:rsidRDefault="00437A66" w:rsidP="005664D0">
      <w:pPr>
        <w:spacing w:line="360" w:lineRule="auto"/>
        <w:jc w:val="both"/>
        <w:rPr>
          <w:lang w:val="en-GB"/>
        </w:rPr>
      </w:pPr>
    </w:p>
    <w:p w14:paraId="3EB1B59E" w14:textId="31F777F7" w:rsidR="006806BA" w:rsidRPr="005664D0" w:rsidRDefault="002A0BFB" w:rsidP="00777A20">
      <w:pPr>
        <w:spacing w:line="360" w:lineRule="auto"/>
        <w:jc w:val="both"/>
        <w:rPr>
          <w:lang w:val="en-US"/>
        </w:rPr>
      </w:pPr>
      <w:r>
        <w:rPr>
          <w:lang w:val="en-US"/>
        </w:rPr>
        <w:t xml:space="preserve">Moreover, </w:t>
      </w:r>
      <w:r w:rsidR="005664D0" w:rsidRPr="005664D0">
        <w:rPr>
          <w:lang w:val="en-US"/>
        </w:rPr>
        <w:t xml:space="preserve">Germany has transposed optional refusal grounds into mandatory ones </w:t>
      </w:r>
      <w:r w:rsidR="003A3980">
        <w:rPr>
          <w:lang w:val="en-US"/>
        </w:rPr>
        <w:t>(</w:t>
      </w:r>
      <w:r w:rsidR="00EA0074">
        <w:rPr>
          <w:lang w:val="en-US"/>
        </w:rPr>
        <w:t>‘</w:t>
      </w:r>
      <w:r w:rsidR="003A3980" w:rsidRPr="00184676">
        <w:rPr>
          <w:lang w:val="en-US"/>
        </w:rPr>
        <w:t>Zulässigkeitsvoraussetzungen</w:t>
      </w:r>
      <w:r w:rsidR="00EA0074">
        <w:rPr>
          <w:lang w:val="en-US"/>
        </w:rPr>
        <w:t>’</w:t>
      </w:r>
      <w:r w:rsidR="003A3980">
        <w:rPr>
          <w:lang w:val="en-US"/>
        </w:rPr>
        <w:t xml:space="preserve">) </w:t>
      </w:r>
      <w:r w:rsidR="005664D0" w:rsidRPr="005664D0">
        <w:rPr>
          <w:lang w:val="en-US"/>
        </w:rPr>
        <w:t>where such transposition corresponds to the general rules on international cooperation in criminal matters.</w:t>
      </w:r>
      <w:r w:rsidR="005664D0" w:rsidRPr="005664D0">
        <w:rPr>
          <w:vertAlign w:val="superscript"/>
          <w:lang w:val="en-US"/>
        </w:rPr>
        <w:footnoteReference w:id="51"/>
      </w:r>
      <w:r w:rsidR="00437A66">
        <w:rPr>
          <w:lang w:val="en-US"/>
        </w:rPr>
        <w:t xml:space="preserve"> This applies to Art. 4 No. 1 FD EAW (</w:t>
      </w:r>
      <w:r>
        <w:rPr>
          <w:lang w:val="en-US"/>
        </w:rPr>
        <w:t xml:space="preserve">double criminality, </w:t>
      </w:r>
      <w:r w:rsidR="00437A66">
        <w:rPr>
          <w:lang w:val="en-US"/>
        </w:rPr>
        <w:t>section 81 No</w:t>
      </w:r>
      <w:r w:rsidR="00F332E5">
        <w:rPr>
          <w:lang w:val="en-US"/>
        </w:rPr>
        <w:t>.</w:t>
      </w:r>
      <w:r w:rsidR="00437A66">
        <w:rPr>
          <w:lang w:val="en-US"/>
        </w:rPr>
        <w:t xml:space="preserve"> 3 and No. 4 AICCM)</w:t>
      </w:r>
      <w:r>
        <w:rPr>
          <w:lang w:val="en-US"/>
        </w:rPr>
        <w:t xml:space="preserve">, Art. 4 No. 4 FD EAW (prosecution or enforcement time-barred, sections 82 and 9 No. 2 AICCM), </w:t>
      </w:r>
      <w:r w:rsidRPr="00496074">
        <w:rPr>
          <w:lang w:val="en-US"/>
        </w:rPr>
        <w:t>Art. 4</w:t>
      </w:r>
      <w:r w:rsidR="005409A5">
        <w:rPr>
          <w:lang w:val="en-US"/>
        </w:rPr>
        <w:t xml:space="preserve">a </w:t>
      </w:r>
      <w:r w:rsidRPr="00496074">
        <w:rPr>
          <w:lang w:val="en-US"/>
        </w:rPr>
        <w:t>FD</w:t>
      </w:r>
      <w:r>
        <w:rPr>
          <w:lang w:val="en-US"/>
        </w:rPr>
        <w:t xml:space="preserve"> EAW (convictions </w:t>
      </w:r>
      <w:r>
        <w:rPr>
          <w:i/>
          <w:lang w:val="en-US"/>
        </w:rPr>
        <w:t>in absentia</w:t>
      </w:r>
      <w:r>
        <w:rPr>
          <w:lang w:val="en-US"/>
        </w:rPr>
        <w:t>,</w:t>
      </w:r>
      <w:r>
        <w:rPr>
          <w:i/>
          <w:lang w:val="en-US"/>
        </w:rPr>
        <w:t xml:space="preserve"> </w:t>
      </w:r>
      <w:r>
        <w:rPr>
          <w:lang w:val="en-US"/>
        </w:rPr>
        <w:t>section 83(1) No. 3, (2) to (4) AICCM), and Art. 5 No. 2 FD EAW (life-long-imprisonment, section 83(1) No. 4 AICCM).</w:t>
      </w:r>
      <w:r w:rsidR="00853EDE">
        <w:rPr>
          <w:lang w:val="en-US"/>
        </w:rPr>
        <w:t xml:space="preserve"> Other optional grounds for refusal have been transposed in a way that leaves a margin of discretion to the executing authority (</w:t>
      </w:r>
      <w:r w:rsidR="00EA0074">
        <w:rPr>
          <w:lang w:val="en-US"/>
        </w:rPr>
        <w:t>‘</w:t>
      </w:r>
      <w:r w:rsidR="00853EDE" w:rsidRPr="00184676">
        <w:rPr>
          <w:lang w:val="en-US"/>
        </w:rPr>
        <w:t>Bewilligungshindernisse</w:t>
      </w:r>
      <w:r w:rsidR="00EA0074">
        <w:rPr>
          <w:lang w:val="en-US"/>
        </w:rPr>
        <w:t>’</w:t>
      </w:r>
      <w:r w:rsidR="00853EDE">
        <w:rPr>
          <w:lang w:val="en-US"/>
        </w:rPr>
        <w:t>, section 83b AICCM); however, the exercise of this discretion is subject to judicial review (section 79 AICCM).</w:t>
      </w:r>
    </w:p>
    <w:p w14:paraId="2BFA6B5A" w14:textId="16577815" w:rsidR="00A851B7" w:rsidRDefault="00196DE2" w:rsidP="00777A20">
      <w:pPr>
        <w:spacing w:line="360" w:lineRule="auto"/>
        <w:jc w:val="both"/>
      </w:pPr>
      <w:r>
        <w:t xml:space="preserve">In the draft bill for the reform of the AICCM, the previous distinction between ‘Zulässigkeitsvoraussetzungen’ and ‘Bewilligungshindernisse’ has been replaced by ‘zwingende Ablehnungsgründe’ (mandatory grounds for refusal) and ‘fakultative </w:t>
      </w:r>
      <w:r>
        <w:lastRenderedPageBreak/>
        <w:t xml:space="preserve">Ablehnungsgründe’ (optional grounds for refusal) to align the terminology with the case law of the European Court of Justice. Furthermore, optional grounds for refusal </w:t>
      </w:r>
      <w:r w:rsidR="00BE1E22">
        <w:t xml:space="preserve">(e.g. Art. 4a; Art. 5 No. 2 and 3 FD EAW) </w:t>
      </w:r>
      <w:r>
        <w:t>are no longer transposed as mandatory ones; instead, they grant the executing judicial authority a margin of discretion</w:t>
      </w:r>
      <w:r w:rsidR="001C03AF">
        <w:t>.</w:t>
      </w:r>
      <w:r>
        <w:t xml:space="preserve"> It should be noted, however, that only a few of these grounds are expressly referred to as 'fakultative Ablehnungsgründe' (e.g. Art. 4 No. 4 FD EAW).</w:t>
      </w:r>
    </w:p>
    <w:p w14:paraId="75495393" w14:textId="77777777" w:rsidR="00B717C8" w:rsidRDefault="00B717C8" w:rsidP="00777A20">
      <w:pPr>
        <w:spacing w:line="360" w:lineRule="auto"/>
        <w:jc w:val="both"/>
        <w:rPr>
          <w:lang w:val="en-US"/>
        </w:rPr>
      </w:pPr>
    </w:p>
    <w:p w14:paraId="077BBEC2" w14:textId="265D7343" w:rsidR="00DA724F" w:rsidRPr="00496D89" w:rsidRDefault="00DA724F" w:rsidP="00DB7B0E">
      <w:pPr>
        <w:spacing w:line="360" w:lineRule="auto"/>
        <w:jc w:val="both"/>
        <w:rPr>
          <w:lang w:val="en-GB"/>
        </w:rPr>
      </w:pPr>
      <w:r>
        <w:rPr>
          <w:lang w:val="en-GB"/>
        </w:rPr>
        <w:t>(b) FD 2008/909/JHA has been transposed into part 9 (s</w:t>
      </w:r>
      <w:r w:rsidR="002A0BFB">
        <w:rPr>
          <w:lang w:val="en-GB"/>
        </w:rPr>
        <w:t xml:space="preserve">ections 84 to 85f) of the AICCM. </w:t>
      </w:r>
      <w:r w:rsidR="003A3980">
        <w:rPr>
          <w:lang w:val="en-GB"/>
        </w:rPr>
        <w:t>In contrast to Art. 9 of the Framework Decision, German law distinguishes between optional (</w:t>
      </w:r>
      <w:r w:rsidR="000A6BB2">
        <w:rPr>
          <w:lang w:val="en-GB"/>
        </w:rPr>
        <w:t>‘</w:t>
      </w:r>
      <w:r w:rsidR="003A3980" w:rsidRPr="00184676">
        <w:rPr>
          <w:lang w:val="en-GB"/>
        </w:rPr>
        <w:t>Bewilligungshindernisse</w:t>
      </w:r>
      <w:r w:rsidR="000A6BB2">
        <w:rPr>
          <w:lang w:val="en-GB"/>
        </w:rPr>
        <w:t>’</w:t>
      </w:r>
      <w:r w:rsidR="003A3980">
        <w:rPr>
          <w:lang w:val="en-GB"/>
        </w:rPr>
        <w:t xml:space="preserve"> - section 84d AICCM) and mandatory (</w:t>
      </w:r>
      <w:r w:rsidR="000A6BB2">
        <w:rPr>
          <w:lang w:val="en-GB"/>
        </w:rPr>
        <w:t>‘</w:t>
      </w:r>
      <w:r w:rsidR="003A3980" w:rsidRPr="00184676">
        <w:rPr>
          <w:lang w:val="en-GB"/>
        </w:rPr>
        <w:t>Zulässigkeitsvoraussetzungen</w:t>
      </w:r>
      <w:r w:rsidR="000A6BB2">
        <w:rPr>
          <w:lang w:val="en-GB"/>
        </w:rPr>
        <w:t>’</w:t>
      </w:r>
      <w:r w:rsidR="003A3980">
        <w:rPr>
          <w:lang w:val="en-GB"/>
        </w:rPr>
        <w:t xml:space="preserve"> - sections 84a, 84b AICCM) </w:t>
      </w:r>
      <w:r w:rsidR="00853EDE">
        <w:rPr>
          <w:lang w:val="en-GB"/>
        </w:rPr>
        <w:t xml:space="preserve">grounds </w:t>
      </w:r>
      <w:r w:rsidR="003A3980">
        <w:rPr>
          <w:lang w:val="en-GB"/>
        </w:rPr>
        <w:t>for refusal. The latter applies to Art. 9(1) lit. c (</w:t>
      </w:r>
      <w:r w:rsidR="003A3980" w:rsidRPr="00CB796C">
        <w:rPr>
          <w:i/>
          <w:iCs/>
          <w:lang w:val="en-GB"/>
        </w:rPr>
        <w:t>ne</w:t>
      </w:r>
      <w:r w:rsidR="00496D89" w:rsidRPr="00CB796C">
        <w:rPr>
          <w:i/>
          <w:iCs/>
          <w:lang w:val="en-GB"/>
        </w:rPr>
        <w:t xml:space="preserve"> bis in idem</w:t>
      </w:r>
      <w:r w:rsidR="00496D89">
        <w:rPr>
          <w:lang w:val="en-GB"/>
        </w:rPr>
        <w:t xml:space="preserve"> -</w:t>
      </w:r>
      <w:r w:rsidR="003A3980">
        <w:rPr>
          <w:lang w:val="en-GB"/>
        </w:rPr>
        <w:t xml:space="preserve"> section 84b(1) No. 3 AICCM), lit. d (double criminality</w:t>
      </w:r>
      <w:r w:rsidR="00496D89">
        <w:rPr>
          <w:lang w:val="en-GB"/>
        </w:rPr>
        <w:t xml:space="preserve"> -</w:t>
      </w:r>
      <w:r w:rsidR="003A3980">
        <w:rPr>
          <w:lang w:val="en-GB"/>
        </w:rPr>
        <w:t xml:space="preserve"> section 84</w:t>
      </w:r>
      <w:r w:rsidR="00496D89">
        <w:rPr>
          <w:lang w:val="en-GB"/>
        </w:rPr>
        <w:t>a</w:t>
      </w:r>
      <w:r w:rsidR="003A3980">
        <w:rPr>
          <w:lang w:val="en-GB"/>
        </w:rPr>
        <w:t>(1) No. 2</w:t>
      </w:r>
      <w:r w:rsidR="00496D89">
        <w:rPr>
          <w:lang w:val="en-GB"/>
        </w:rPr>
        <w:t>, (2)</w:t>
      </w:r>
      <w:r w:rsidR="003A3980">
        <w:rPr>
          <w:lang w:val="en-GB"/>
        </w:rPr>
        <w:t xml:space="preserve"> AICCM)</w:t>
      </w:r>
      <w:r w:rsidR="00496D89">
        <w:rPr>
          <w:lang w:val="en-GB"/>
        </w:rPr>
        <w:t xml:space="preserve">, lit. e (enforcement time-barred - section 84b(1) No. 4 AICCM), lit. f (immunity of the sentenced person – sections 84(2), 77(2) AICCM), lit. g (no criminal liability due to the age of the sentenced person – section 84b(1) </w:t>
      </w:r>
      <w:r w:rsidR="006172AA">
        <w:rPr>
          <w:lang w:val="en-GB"/>
        </w:rPr>
        <w:t>N</w:t>
      </w:r>
      <w:r w:rsidR="00496D89">
        <w:rPr>
          <w:lang w:val="en-GB"/>
        </w:rPr>
        <w:t xml:space="preserve">o. 1 AICCM), lit. </w:t>
      </w:r>
      <w:r w:rsidR="003623FE">
        <w:rPr>
          <w:lang w:val="en-GB"/>
        </w:rPr>
        <w:t>i</w:t>
      </w:r>
      <w:r w:rsidR="00496D89">
        <w:rPr>
          <w:lang w:val="en-GB"/>
        </w:rPr>
        <w:t xml:space="preserve"> (conviction </w:t>
      </w:r>
      <w:r w:rsidR="00496D89">
        <w:rPr>
          <w:i/>
          <w:lang w:val="en-GB"/>
        </w:rPr>
        <w:t xml:space="preserve">in absentia </w:t>
      </w:r>
      <w:r w:rsidR="003623FE">
        <w:rPr>
          <w:lang w:val="en-GB"/>
        </w:rPr>
        <w:t>–</w:t>
      </w:r>
      <w:r w:rsidR="00496D89">
        <w:rPr>
          <w:lang w:val="en-GB"/>
        </w:rPr>
        <w:t xml:space="preserve"> </w:t>
      </w:r>
      <w:r w:rsidR="003623FE">
        <w:rPr>
          <w:lang w:val="en-GB"/>
        </w:rPr>
        <w:t>section 84b(1) No. 2, (3), (4) AICCM), lit. k (no equivalent sanction in the German legal order – section 84a(1) No. 1 lit. b AICCM).</w:t>
      </w:r>
      <w:r w:rsidR="003623FE">
        <w:rPr>
          <w:rStyle w:val="Funotenzeichen"/>
          <w:lang w:val="en-GB"/>
        </w:rPr>
        <w:footnoteReference w:id="52"/>
      </w:r>
    </w:p>
    <w:p w14:paraId="6BB52B5E" w14:textId="77777777" w:rsidR="00DA724F" w:rsidRDefault="00DA724F" w:rsidP="00777A20">
      <w:pPr>
        <w:spacing w:line="360" w:lineRule="auto"/>
        <w:jc w:val="both"/>
        <w:rPr>
          <w:lang w:val="en-GB"/>
        </w:rPr>
      </w:pPr>
    </w:p>
    <w:p w14:paraId="690AC832" w14:textId="66F0BC35" w:rsidR="00DA724F" w:rsidRDefault="00DA724F" w:rsidP="00DA724F">
      <w:pPr>
        <w:spacing w:line="360" w:lineRule="auto"/>
        <w:jc w:val="both"/>
        <w:rPr>
          <w:kern w:val="2"/>
          <w:lang w:val="en-GB"/>
          <w14:ligatures w14:val="standardContextual"/>
        </w:rPr>
      </w:pPr>
      <w:r>
        <w:rPr>
          <w:lang w:val="en-GB"/>
        </w:rPr>
        <w:t>(c) FD 2008</w:t>
      </w:r>
      <w:r w:rsidRPr="00353C2A">
        <w:rPr>
          <w:kern w:val="2"/>
          <w:lang w:val="en-GB"/>
          <w14:ligatures w14:val="standardContextual"/>
        </w:rPr>
        <w:t>/947/JHA</w:t>
      </w:r>
      <w:r>
        <w:rPr>
          <w:kern w:val="2"/>
          <w:lang w:val="en-GB"/>
          <w14:ligatures w14:val="standardContextual"/>
        </w:rPr>
        <w:t xml:space="preserve"> has also been transposed into part 9 (sections 90a to 90n) of the AICCM</w:t>
      </w:r>
      <w:r w:rsidR="00764945">
        <w:rPr>
          <w:kern w:val="2"/>
          <w:lang w:val="en-GB"/>
          <w14:ligatures w14:val="standardContextual"/>
        </w:rPr>
        <w:t xml:space="preserve">. Again, the German legislator has provided for optional and mandatory grounds for refusal although Art. 11 FD 2008/947/JHA states that the competent authority </w:t>
      </w:r>
      <w:r w:rsidR="00DA2958">
        <w:rPr>
          <w:kern w:val="2"/>
          <w:lang w:val="en-GB"/>
          <w14:ligatures w14:val="standardContextual"/>
        </w:rPr>
        <w:t>‘</w:t>
      </w:r>
      <w:r w:rsidR="00764945">
        <w:rPr>
          <w:kern w:val="2"/>
          <w:lang w:val="en-GB"/>
          <w14:ligatures w14:val="standardContextual"/>
        </w:rPr>
        <w:t>may</w:t>
      </w:r>
      <w:r w:rsidR="00DA2958">
        <w:rPr>
          <w:kern w:val="2"/>
          <w:lang w:val="en-GB"/>
          <w14:ligatures w14:val="standardContextual"/>
        </w:rPr>
        <w:t>’</w:t>
      </w:r>
      <w:r w:rsidR="00764945">
        <w:rPr>
          <w:kern w:val="2"/>
          <w:lang w:val="en-GB"/>
          <w14:ligatures w14:val="standardContextual"/>
        </w:rPr>
        <w:t xml:space="preserve"> refuse to recognise the judgment or probation decision of the issuing state. The list of mandatory grounds for refusal (sections 90b, 90c AICCM) corresponds </w:t>
      </w:r>
      <w:r w:rsidR="00764945">
        <w:rPr>
          <w:i/>
          <w:kern w:val="2"/>
          <w:lang w:val="en-GB"/>
          <w14:ligatures w14:val="standardContextual"/>
        </w:rPr>
        <w:t xml:space="preserve">cum grano salis </w:t>
      </w:r>
      <w:r w:rsidR="00764945">
        <w:rPr>
          <w:kern w:val="2"/>
          <w:lang w:val="en-GB"/>
          <w14:ligatures w14:val="standardContextual"/>
        </w:rPr>
        <w:t>to the refusal grounds according to sections 84a, 84b AICCM (</w:t>
      </w:r>
      <w:r w:rsidR="00764945">
        <w:rPr>
          <w:i/>
          <w:kern w:val="2"/>
          <w:lang w:val="en-GB"/>
          <w14:ligatures w14:val="standardContextual"/>
        </w:rPr>
        <w:t xml:space="preserve">supra </w:t>
      </w:r>
      <w:r w:rsidR="00764945">
        <w:rPr>
          <w:kern w:val="2"/>
          <w:lang w:val="en-GB"/>
          <w14:ligatures w14:val="standardContextual"/>
        </w:rPr>
        <w:t>(b)); in particular, the execution of a probation measure or alternative sanction is subject to the condition that an equivalent measure exists in the German legal order.</w:t>
      </w:r>
      <w:r w:rsidR="00764945">
        <w:rPr>
          <w:rStyle w:val="Funotenzeichen"/>
          <w:kern w:val="2"/>
          <w:lang w:val="en-GB"/>
          <w14:ligatures w14:val="standardContextual"/>
        </w:rPr>
        <w:footnoteReference w:id="53"/>
      </w:r>
    </w:p>
    <w:p w14:paraId="046A438F" w14:textId="3FD92C73" w:rsidR="00EC7387" w:rsidRDefault="00EC7387" w:rsidP="00DA724F">
      <w:pPr>
        <w:spacing w:line="360" w:lineRule="auto"/>
        <w:jc w:val="both"/>
        <w:rPr>
          <w:kern w:val="2"/>
          <w:lang w:val="en-GB"/>
          <w14:ligatures w14:val="standardContextual"/>
        </w:rPr>
      </w:pPr>
      <w:r>
        <w:rPr>
          <w:kern w:val="2"/>
          <w:lang w:val="en-GB"/>
          <w14:ligatures w14:val="standardContextual"/>
        </w:rPr>
        <w:t>T</w:t>
      </w:r>
      <w:r w:rsidR="00437581">
        <w:rPr>
          <w:kern w:val="2"/>
          <w:lang w:val="en-GB"/>
          <w14:ligatures w14:val="standardContextual"/>
        </w:rPr>
        <w:t xml:space="preserve">he scope of the implementing provisions on Germany as the issuing MS </w:t>
      </w:r>
      <w:r w:rsidR="00D661A6">
        <w:rPr>
          <w:kern w:val="2"/>
          <w:lang w:val="en-GB"/>
          <w14:ligatures w14:val="standardContextual"/>
        </w:rPr>
        <w:t xml:space="preserve">(sections 90l to 90n AICCM) </w:t>
      </w:r>
      <w:r w:rsidR="00437581">
        <w:rPr>
          <w:kern w:val="2"/>
          <w:lang w:val="en-GB"/>
          <w14:ligatures w14:val="standardContextual"/>
        </w:rPr>
        <w:t>is limited to the supervision of probation measures and does not extend to conditional sentences and alternative sanctions because the latter are not foreseen in the German sentencing regime.</w:t>
      </w:r>
      <w:r w:rsidR="00437581">
        <w:rPr>
          <w:rStyle w:val="Funotenzeichen"/>
          <w:kern w:val="2"/>
          <w:lang w:val="en-GB"/>
          <w14:ligatures w14:val="standardContextual"/>
        </w:rPr>
        <w:footnoteReference w:id="54"/>
      </w:r>
      <w:r w:rsidR="00451AE5">
        <w:rPr>
          <w:kern w:val="2"/>
          <w:lang w:val="en-GB"/>
          <w14:ligatures w14:val="standardContextual"/>
        </w:rPr>
        <w:t xml:space="preserve"> The Youth Courts Act (YCA </w:t>
      </w:r>
      <w:r w:rsidR="00184676">
        <w:rPr>
          <w:kern w:val="2"/>
          <w:lang w:val="en-GB"/>
          <w14:ligatures w14:val="standardContextual"/>
        </w:rPr>
        <w:t>–</w:t>
      </w:r>
      <w:r w:rsidR="00451AE5">
        <w:rPr>
          <w:kern w:val="2"/>
          <w:lang w:val="en-GB"/>
          <w14:ligatures w14:val="standardContextual"/>
        </w:rPr>
        <w:t xml:space="preserve"> </w:t>
      </w:r>
      <w:r w:rsidR="00AE2C42">
        <w:rPr>
          <w:kern w:val="2"/>
          <w:lang w:val="en-GB"/>
          <w14:ligatures w14:val="standardContextual"/>
        </w:rPr>
        <w:t>‘</w:t>
      </w:r>
      <w:r w:rsidR="00451AE5">
        <w:rPr>
          <w:kern w:val="2"/>
          <w:lang w:val="en-GB"/>
          <w14:ligatures w14:val="standardContextual"/>
        </w:rPr>
        <w:t>Jugendgerichtsgesetz</w:t>
      </w:r>
      <w:r w:rsidR="00AE2C42">
        <w:rPr>
          <w:kern w:val="2"/>
          <w:lang w:val="en-GB"/>
          <w14:ligatures w14:val="standardContextual"/>
        </w:rPr>
        <w:t>’</w:t>
      </w:r>
      <w:r w:rsidR="00451AE5">
        <w:rPr>
          <w:kern w:val="2"/>
          <w:lang w:val="en-GB"/>
          <w14:ligatures w14:val="standardContextual"/>
        </w:rPr>
        <w:t xml:space="preserve">) provides for alternative </w:t>
      </w:r>
      <w:r w:rsidR="00451AE5">
        <w:rPr>
          <w:kern w:val="2"/>
          <w:lang w:val="en-GB"/>
          <w14:ligatures w14:val="standardContextual"/>
        </w:rPr>
        <w:lastRenderedPageBreak/>
        <w:t xml:space="preserve">sanctions such as </w:t>
      </w:r>
      <w:r w:rsidR="00AB7FF9">
        <w:rPr>
          <w:kern w:val="2"/>
          <w:lang w:val="en-GB"/>
          <w14:ligatures w14:val="standardContextual"/>
        </w:rPr>
        <w:t xml:space="preserve">instructions (section 10 YCA), conditions (section 15) and </w:t>
      </w:r>
      <w:r w:rsidR="00451AE5">
        <w:rPr>
          <w:kern w:val="2"/>
          <w:lang w:val="en-GB"/>
          <w14:ligatures w14:val="standardContextual"/>
        </w:rPr>
        <w:t>youth detention (section 16 YCA), but according to the German government, supervision of juvenile offenders should be a matter for German courts only, due to the divergent sanctioning regimes among the Member States.</w:t>
      </w:r>
      <w:r w:rsidR="00451AE5">
        <w:rPr>
          <w:rStyle w:val="Funotenzeichen"/>
          <w:kern w:val="2"/>
          <w:lang w:val="en-GB"/>
          <w14:ligatures w14:val="standardContextual"/>
        </w:rPr>
        <w:footnoteReference w:id="55"/>
      </w:r>
      <w:r w:rsidR="00DC676A">
        <w:rPr>
          <w:kern w:val="2"/>
          <w:lang w:val="en-GB"/>
          <w14:ligatures w14:val="standardContextual"/>
        </w:rPr>
        <w:t xml:space="preserve"> Depending upon the experiences with the implementation practice and future developments regarding the harmonisation of juvenile criminal law, the scope of the provisions transposing FD 2008/947/JHA could be extended to the other sanctions for juveniles under German law.</w:t>
      </w:r>
      <w:r w:rsidR="00DC676A">
        <w:rPr>
          <w:rStyle w:val="Funotenzeichen"/>
          <w:kern w:val="2"/>
          <w:lang w:val="en-GB"/>
          <w14:ligatures w14:val="standardContextual"/>
        </w:rPr>
        <w:footnoteReference w:id="56"/>
      </w:r>
    </w:p>
    <w:p w14:paraId="630D2E68" w14:textId="059669CB" w:rsidR="00D661A6" w:rsidRPr="00764945" w:rsidRDefault="00D661A6" w:rsidP="00DA724F">
      <w:pPr>
        <w:spacing w:line="360" w:lineRule="auto"/>
        <w:jc w:val="both"/>
        <w:rPr>
          <w:kern w:val="2"/>
          <w:lang w:val="en-GB"/>
          <w14:ligatures w14:val="standardContextual"/>
        </w:rPr>
      </w:pPr>
      <w:r>
        <w:rPr>
          <w:kern w:val="2"/>
          <w:lang w:val="en-GB"/>
          <w14:ligatures w14:val="standardContextual"/>
        </w:rPr>
        <w:t xml:space="preserve">As the transfer of supervision requires a custodial sentence the enforcement of which has been suspended on probation (section 90l(1)1 No. 1 AICCM: </w:t>
      </w:r>
      <w:r w:rsidR="007807AE">
        <w:rPr>
          <w:kern w:val="2"/>
          <w:lang w:val="en-GB"/>
          <w14:ligatures w14:val="standardContextual"/>
        </w:rPr>
        <w:t>‘</w:t>
      </w:r>
      <w:r>
        <w:rPr>
          <w:kern w:val="2"/>
          <w:lang w:val="en-GB"/>
          <w14:ligatures w14:val="standardContextual"/>
        </w:rPr>
        <w:t>deren Vollstreckung oder weitere Vollstreckung zur Bewährung ausgesetzt wurde</w:t>
      </w:r>
      <w:r w:rsidR="007807AE">
        <w:rPr>
          <w:kern w:val="2"/>
          <w:lang w:val="en-GB"/>
          <w14:ligatures w14:val="standardContextual"/>
        </w:rPr>
        <w:t>’</w:t>
      </w:r>
      <w:r>
        <w:rPr>
          <w:kern w:val="2"/>
          <w:lang w:val="en-GB"/>
          <w14:ligatures w14:val="standardContextual"/>
        </w:rPr>
        <w:t xml:space="preserve">), these provisions do not apply to the postponement of enforcement under section 35 of the Narcotics Act (NA – </w:t>
      </w:r>
      <w:r w:rsidR="007807AE">
        <w:rPr>
          <w:kern w:val="2"/>
          <w:lang w:val="en-GB"/>
          <w14:ligatures w14:val="standardContextual"/>
        </w:rPr>
        <w:t>‘</w:t>
      </w:r>
      <w:r>
        <w:rPr>
          <w:kern w:val="2"/>
          <w:lang w:val="en-GB"/>
          <w14:ligatures w14:val="standardContextual"/>
        </w:rPr>
        <w:t>Betäubungsmittelgesetz</w:t>
      </w:r>
      <w:r w:rsidR="007807AE">
        <w:rPr>
          <w:kern w:val="2"/>
          <w:lang w:val="en-GB"/>
          <w14:ligatures w14:val="standardContextual"/>
        </w:rPr>
        <w:t>’</w:t>
      </w:r>
      <w:r>
        <w:rPr>
          <w:kern w:val="2"/>
          <w:lang w:val="en-GB"/>
          <w14:ligatures w14:val="standardContextual"/>
        </w:rPr>
        <w:t xml:space="preserve">). This provision applies where the enforcement of a custodial sentence cannot be suspended on probation because </w:t>
      </w:r>
      <w:r w:rsidR="003528E7">
        <w:rPr>
          <w:kern w:val="2"/>
          <w:lang w:val="en-GB"/>
          <w14:ligatures w14:val="standardContextual"/>
        </w:rPr>
        <w:t>the convicted person cannot be expected to commit no further crimes; instead, the enforcement is postponed to allow the convicted person to undergo therapy (</w:t>
      </w:r>
      <w:r w:rsidR="00E92ED2">
        <w:rPr>
          <w:kern w:val="2"/>
          <w:lang w:val="en-GB"/>
          <w14:ligatures w14:val="standardContextual"/>
        </w:rPr>
        <w:t>‘</w:t>
      </w:r>
      <w:r w:rsidR="003528E7">
        <w:rPr>
          <w:kern w:val="2"/>
          <w:lang w:val="en-GB"/>
          <w14:ligatures w14:val="standardContextual"/>
        </w:rPr>
        <w:t>Therapie statt Strafvollzug</w:t>
      </w:r>
      <w:r w:rsidR="00E92ED2">
        <w:rPr>
          <w:kern w:val="2"/>
          <w:lang w:val="en-GB"/>
          <w14:ligatures w14:val="standardContextual"/>
        </w:rPr>
        <w:t>’</w:t>
      </w:r>
      <w:r w:rsidR="003528E7">
        <w:rPr>
          <w:kern w:val="2"/>
          <w:lang w:val="en-GB"/>
          <w14:ligatures w14:val="standardContextual"/>
        </w:rPr>
        <w:t>).</w:t>
      </w:r>
      <w:r w:rsidR="003528E7">
        <w:rPr>
          <w:rStyle w:val="Funotenzeichen"/>
          <w:kern w:val="2"/>
          <w:lang w:val="en-GB"/>
          <w14:ligatures w14:val="standardContextual"/>
        </w:rPr>
        <w:footnoteReference w:id="57"/>
      </w:r>
      <w:r w:rsidR="003528E7">
        <w:rPr>
          <w:kern w:val="2"/>
          <w:lang w:val="en-GB"/>
          <w14:ligatures w14:val="standardContextual"/>
        </w:rPr>
        <w:t xml:space="preserve"> Despite the similar reasoning, German law clearly distinguishes suspension on probation and postponement so that section 90l AICCM does not apply to the latter.</w:t>
      </w:r>
    </w:p>
    <w:p w14:paraId="699130B8" w14:textId="77777777" w:rsidR="00764945" w:rsidRDefault="00764945" w:rsidP="00DA724F">
      <w:pPr>
        <w:spacing w:line="360" w:lineRule="auto"/>
        <w:jc w:val="both"/>
        <w:rPr>
          <w:kern w:val="2"/>
          <w:lang w:val="en-GB"/>
          <w14:ligatures w14:val="standardContextual"/>
        </w:rPr>
      </w:pPr>
    </w:p>
    <w:p w14:paraId="5DAF174E" w14:textId="517336F6" w:rsidR="00DA724F" w:rsidRPr="00F50175" w:rsidRDefault="00DA724F" w:rsidP="00DA724F">
      <w:pPr>
        <w:spacing w:line="360" w:lineRule="auto"/>
        <w:contextualSpacing/>
        <w:jc w:val="both"/>
        <w:rPr>
          <w:i/>
          <w:kern w:val="2"/>
          <w:lang w:val="en-GB"/>
          <w14:ligatures w14:val="standardContextual"/>
        </w:rPr>
      </w:pPr>
      <w:r>
        <w:rPr>
          <w:kern w:val="2"/>
          <w:lang w:val="en-GB"/>
          <w14:ligatures w14:val="standardContextual"/>
        </w:rPr>
        <w:t xml:space="preserve">(d) Part 9 </w:t>
      </w:r>
      <w:r w:rsidR="009757D3">
        <w:rPr>
          <w:kern w:val="2"/>
          <w:lang w:val="en-GB"/>
          <w14:ligatures w14:val="standardContextual"/>
        </w:rPr>
        <w:t xml:space="preserve">of the AICCM </w:t>
      </w:r>
      <w:r>
        <w:rPr>
          <w:kern w:val="2"/>
          <w:lang w:val="en-GB"/>
          <w14:ligatures w14:val="standardContextual"/>
        </w:rPr>
        <w:t xml:space="preserve">also contains the provisions transposing </w:t>
      </w:r>
      <w:r w:rsidRPr="00353C2A">
        <w:rPr>
          <w:kern w:val="2"/>
          <w:lang w:val="en-GB"/>
          <w14:ligatures w14:val="standardContextual"/>
        </w:rPr>
        <w:t>FD 2009/829/JHA</w:t>
      </w:r>
      <w:r w:rsidR="00764945">
        <w:rPr>
          <w:kern w:val="2"/>
          <w:lang w:val="en-GB"/>
          <w14:ligatures w14:val="standardContextual"/>
        </w:rPr>
        <w:t xml:space="preserve"> (sections 90o to 90z AICCM).</w:t>
      </w:r>
      <w:r w:rsidR="005A2FFC">
        <w:rPr>
          <w:kern w:val="2"/>
          <w:lang w:val="en-GB"/>
          <w14:ligatures w14:val="standardContextual"/>
        </w:rPr>
        <w:t xml:space="preserve"> As in the Framework Decisions mentioned before, the optional grounds for non-recognition under Art. 15 FD 2009/829/JHA have been transposed as mandatory </w:t>
      </w:r>
      <w:r w:rsidR="00B35684">
        <w:rPr>
          <w:kern w:val="2"/>
          <w:lang w:val="en-GB"/>
          <w14:ligatures w14:val="standardContextual"/>
        </w:rPr>
        <w:t>‘</w:t>
      </w:r>
      <w:r w:rsidR="005A2FFC">
        <w:rPr>
          <w:kern w:val="2"/>
          <w:lang w:val="en-GB"/>
          <w14:ligatures w14:val="standardContextual"/>
        </w:rPr>
        <w:t>Zulässigkeit</w:t>
      </w:r>
      <w:r w:rsidR="005E6753">
        <w:rPr>
          <w:kern w:val="2"/>
          <w:lang w:val="en-GB"/>
          <w14:ligatures w14:val="standardContextual"/>
        </w:rPr>
        <w:t>s</w:t>
      </w:r>
      <w:r w:rsidR="005A2FFC">
        <w:rPr>
          <w:kern w:val="2"/>
          <w:lang w:val="en-GB"/>
          <w14:ligatures w14:val="standardContextual"/>
        </w:rPr>
        <w:t>voraussetzungen</w:t>
      </w:r>
      <w:r w:rsidR="00B35684">
        <w:rPr>
          <w:kern w:val="2"/>
          <w:lang w:val="en-GB"/>
          <w14:ligatures w14:val="standardContextual"/>
        </w:rPr>
        <w:t>’</w:t>
      </w:r>
      <w:r w:rsidR="005A2FFC">
        <w:rPr>
          <w:kern w:val="2"/>
          <w:lang w:val="en-GB"/>
          <w14:ligatures w14:val="standardContextual"/>
        </w:rPr>
        <w:t xml:space="preserve"> (section 90p AICCM) and optional </w:t>
      </w:r>
      <w:r w:rsidR="00B35684">
        <w:rPr>
          <w:kern w:val="2"/>
          <w:lang w:val="en-GB"/>
          <w14:ligatures w14:val="standardContextual"/>
        </w:rPr>
        <w:t>‘</w:t>
      </w:r>
      <w:r w:rsidR="005A2FFC">
        <w:rPr>
          <w:kern w:val="2"/>
          <w:lang w:val="en-GB"/>
          <w14:ligatures w14:val="standardContextual"/>
        </w:rPr>
        <w:t>Bewilligungshindernisse</w:t>
      </w:r>
      <w:r w:rsidR="00B35684">
        <w:rPr>
          <w:kern w:val="2"/>
          <w:lang w:val="en-GB"/>
          <w14:ligatures w14:val="standardContextual"/>
        </w:rPr>
        <w:t>’</w:t>
      </w:r>
      <w:r w:rsidR="005A2FFC">
        <w:rPr>
          <w:kern w:val="2"/>
          <w:lang w:val="en-GB"/>
          <w14:ligatures w14:val="standardContextual"/>
        </w:rPr>
        <w:t xml:space="preserve"> (section 90r AICCM). </w:t>
      </w:r>
      <w:r w:rsidR="00F50175">
        <w:rPr>
          <w:kern w:val="2"/>
          <w:lang w:val="en-GB"/>
          <w14:ligatures w14:val="standardContextual"/>
        </w:rPr>
        <w:t>Again, mandatory grounds for non-recognition correspond to traditional obstacle</w:t>
      </w:r>
      <w:r w:rsidR="00BE794A">
        <w:rPr>
          <w:kern w:val="2"/>
          <w:lang w:val="en-GB"/>
          <w14:ligatures w14:val="standardContextual"/>
        </w:rPr>
        <w:t>s</w:t>
      </w:r>
      <w:r w:rsidR="00F50175">
        <w:rPr>
          <w:kern w:val="2"/>
          <w:lang w:val="en-GB"/>
          <w14:ligatures w14:val="standardContextual"/>
        </w:rPr>
        <w:t xml:space="preserve"> to cooperation (e.g. double-criminality requirement, the principle </w:t>
      </w:r>
      <w:r w:rsidR="00F50175">
        <w:rPr>
          <w:i/>
          <w:kern w:val="2"/>
          <w:lang w:val="en-GB"/>
          <w14:ligatures w14:val="standardContextual"/>
        </w:rPr>
        <w:t>ne bis in idem</w:t>
      </w:r>
      <w:r w:rsidR="00F50175">
        <w:rPr>
          <w:kern w:val="2"/>
          <w:lang w:val="en-GB"/>
          <w14:ligatures w14:val="standardContextual"/>
        </w:rPr>
        <w:t xml:space="preserve"> etc., see </w:t>
      </w:r>
      <w:r w:rsidR="00F50175">
        <w:rPr>
          <w:i/>
          <w:kern w:val="2"/>
          <w:lang w:val="en-GB"/>
          <w14:ligatures w14:val="standardContextual"/>
        </w:rPr>
        <w:t xml:space="preserve">supra </w:t>
      </w:r>
      <w:r w:rsidR="00F50175">
        <w:rPr>
          <w:kern w:val="2"/>
          <w:lang w:val="en-GB"/>
          <w14:ligatures w14:val="standardContextual"/>
        </w:rPr>
        <w:t>(a) to (c)).</w:t>
      </w:r>
      <w:r w:rsidR="00F50175">
        <w:rPr>
          <w:rStyle w:val="Funotenzeichen"/>
          <w:kern w:val="2"/>
          <w:lang w:val="en-GB"/>
          <w14:ligatures w14:val="standardContextual"/>
        </w:rPr>
        <w:footnoteReference w:id="58"/>
      </w:r>
      <w:r w:rsidR="00F50175">
        <w:rPr>
          <w:kern w:val="2"/>
          <w:lang w:val="en-GB"/>
          <w14:ligatures w14:val="standardContextual"/>
        </w:rPr>
        <w:t xml:space="preserve">  </w:t>
      </w:r>
      <w:r w:rsidR="00F50175">
        <w:rPr>
          <w:i/>
          <w:kern w:val="2"/>
          <w:lang w:val="en-GB"/>
          <w14:ligatures w14:val="standardContextual"/>
        </w:rPr>
        <w:t xml:space="preserve"> </w:t>
      </w:r>
    </w:p>
    <w:p w14:paraId="2C60B942" w14:textId="77777777" w:rsidR="00DA724F" w:rsidRPr="00353C2A" w:rsidRDefault="00DA724F" w:rsidP="00DA724F">
      <w:pPr>
        <w:spacing w:line="360" w:lineRule="auto"/>
        <w:contextualSpacing/>
        <w:jc w:val="both"/>
        <w:rPr>
          <w:kern w:val="2"/>
          <w:lang w:val="en-GB"/>
          <w14:ligatures w14:val="standardContextual"/>
        </w:rPr>
      </w:pPr>
    </w:p>
    <w:p w14:paraId="2CC24D7F" w14:textId="7C1CA034" w:rsidR="00B3463A" w:rsidRPr="003E5B30" w:rsidRDefault="00F50175" w:rsidP="00DA724F">
      <w:pPr>
        <w:spacing w:line="360" w:lineRule="auto"/>
        <w:jc w:val="both"/>
        <w:rPr>
          <w:kern w:val="2"/>
          <w:lang w:val="en-GB"/>
          <w14:ligatures w14:val="standardContextual"/>
        </w:rPr>
      </w:pPr>
      <w:r>
        <w:rPr>
          <w:kern w:val="2"/>
          <w:lang w:val="en-GB"/>
          <w14:ligatures w14:val="standardContextual"/>
        </w:rPr>
        <w:lastRenderedPageBreak/>
        <w:t xml:space="preserve">(e) </w:t>
      </w:r>
      <w:r w:rsidR="00DA724F" w:rsidRPr="00353C2A">
        <w:rPr>
          <w:kern w:val="2"/>
          <w:lang w:val="en-GB"/>
          <w14:ligatures w14:val="standardContextual"/>
        </w:rPr>
        <w:t>Directive 2014/41/EU</w:t>
      </w:r>
      <w:r w:rsidR="00DA724F">
        <w:rPr>
          <w:kern w:val="2"/>
          <w:lang w:val="en-GB"/>
          <w14:ligatures w14:val="standardContextual"/>
        </w:rPr>
        <w:t xml:space="preserve"> on the European Investigation Order has been transposed into part 10 (sections 91a to 91j) of the AICCM. </w:t>
      </w:r>
      <w:r w:rsidR="00873C7D">
        <w:rPr>
          <w:kern w:val="2"/>
          <w:lang w:val="en-GB"/>
          <w14:ligatures w14:val="standardContextual"/>
        </w:rPr>
        <w:t xml:space="preserve">In contrast to Art. 11 of the EIO Directive, German law provides for </w:t>
      </w:r>
      <w:r w:rsidR="009542BC">
        <w:rPr>
          <w:kern w:val="2"/>
          <w:lang w:val="en-GB"/>
          <w14:ligatures w14:val="standardContextual"/>
        </w:rPr>
        <w:t xml:space="preserve">both </w:t>
      </w:r>
      <w:r w:rsidR="00873C7D">
        <w:rPr>
          <w:kern w:val="2"/>
          <w:lang w:val="en-GB"/>
          <w14:ligatures w14:val="standardContextual"/>
        </w:rPr>
        <w:t>optional (</w:t>
      </w:r>
      <w:r w:rsidR="00786689">
        <w:rPr>
          <w:kern w:val="2"/>
          <w:lang w:val="en-GB"/>
          <w14:ligatures w14:val="standardContextual"/>
        </w:rPr>
        <w:t>‘</w:t>
      </w:r>
      <w:r w:rsidR="00873C7D">
        <w:rPr>
          <w:kern w:val="2"/>
          <w:lang w:val="en-GB"/>
          <w14:ligatures w14:val="standardContextual"/>
        </w:rPr>
        <w:t>Bewilligungshindernisse</w:t>
      </w:r>
      <w:r w:rsidR="00786689">
        <w:rPr>
          <w:kern w:val="2"/>
          <w:lang w:val="en-GB"/>
          <w14:ligatures w14:val="standardContextual"/>
        </w:rPr>
        <w:t>’</w:t>
      </w:r>
      <w:r w:rsidR="00873C7D">
        <w:rPr>
          <w:kern w:val="2"/>
          <w:lang w:val="en-GB"/>
          <w14:ligatures w14:val="standardContextual"/>
        </w:rPr>
        <w:t xml:space="preserve"> – section 91e AICCM)</w:t>
      </w:r>
      <w:r w:rsidR="009542BC">
        <w:rPr>
          <w:kern w:val="2"/>
          <w:lang w:val="en-GB"/>
          <w14:ligatures w14:val="standardContextual"/>
        </w:rPr>
        <w:t xml:space="preserve"> and</w:t>
      </w:r>
      <w:r w:rsidR="00873C7D">
        <w:rPr>
          <w:kern w:val="2"/>
          <w:lang w:val="en-GB"/>
          <w14:ligatures w14:val="standardContextual"/>
        </w:rPr>
        <w:t xml:space="preserve"> mandatory (</w:t>
      </w:r>
      <w:r w:rsidR="00786689">
        <w:rPr>
          <w:kern w:val="2"/>
          <w:lang w:val="en-GB"/>
          <w14:ligatures w14:val="standardContextual"/>
        </w:rPr>
        <w:t>‘</w:t>
      </w:r>
      <w:r w:rsidR="00873C7D">
        <w:rPr>
          <w:kern w:val="2"/>
          <w:lang w:val="en-GB"/>
          <w14:ligatures w14:val="standardContextual"/>
        </w:rPr>
        <w:t>Zulässigkeitsvoraussetzungen</w:t>
      </w:r>
      <w:r w:rsidR="00786689">
        <w:rPr>
          <w:kern w:val="2"/>
          <w:lang w:val="en-GB"/>
          <w14:ligatures w14:val="standardContextual"/>
        </w:rPr>
        <w:t>’</w:t>
      </w:r>
      <w:r w:rsidR="00873C7D">
        <w:rPr>
          <w:kern w:val="2"/>
          <w:lang w:val="en-GB"/>
          <w14:ligatures w14:val="standardContextual"/>
        </w:rPr>
        <w:t xml:space="preserve"> – sections 91b, 91c AICCM) </w:t>
      </w:r>
      <w:r w:rsidR="009542BC">
        <w:rPr>
          <w:kern w:val="2"/>
          <w:lang w:val="en-GB"/>
          <w14:ligatures w14:val="standardContextual"/>
        </w:rPr>
        <w:t>grounds for refusal; the latter  include</w:t>
      </w:r>
      <w:r w:rsidR="00873C7D">
        <w:rPr>
          <w:kern w:val="2"/>
          <w:lang w:val="en-GB"/>
          <w14:ligatures w14:val="standardContextual"/>
        </w:rPr>
        <w:t xml:space="preserve"> privileges and immunities (Art. 11(1) lit. a EIO Directive)</w:t>
      </w:r>
      <w:r w:rsidR="003E5B30">
        <w:rPr>
          <w:kern w:val="2"/>
          <w:lang w:val="en-GB"/>
          <w14:ligatures w14:val="standardContextual"/>
        </w:rPr>
        <w:t>,</w:t>
      </w:r>
      <w:r w:rsidR="00873C7D">
        <w:rPr>
          <w:kern w:val="2"/>
          <w:lang w:val="en-GB"/>
          <w14:ligatures w14:val="standardContextual"/>
        </w:rPr>
        <w:t xml:space="preserve"> </w:t>
      </w:r>
      <w:r w:rsidR="003E5B30">
        <w:rPr>
          <w:kern w:val="2"/>
          <w:lang w:val="en-GB"/>
          <w14:ligatures w14:val="standardContextual"/>
        </w:rPr>
        <w:t xml:space="preserve">thresholds for the requested investigative measure under the law of the executing state (Art. 11(1) lit. c, h EIO Directive), </w:t>
      </w:r>
      <w:r w:rsidR="00AD1214">
        <w:rPr>
          <w:kern w:val="2"/>
          <w:lang w:val="en-GB"/>
          <w14:ligatures w14:val="standardContextual"/>
        </w:rPr>
        <w:t xml:space="preserve"> </w:t>
      </w:r>
      <w:r w:rsidR="003E5B30">
        <w:rPr>
          <w:kern w:val="2"/>
          <w:lang w:val="en-GB"/>
          <w14:ligatures w14:val="standardContextual"/>
        </w:rPr>
        <w:t xml:space="preserve">the double criminality requirement (Art. 11(1) lit. g EIO Directive) and the European </w:t>
      </w:r>
      <w:r w:rsidR="00BC0065" w:rsidRPr="00CB796C">
        <w:rPr>
          <w:i/>
          <w:iCs/>
          <w:kern w:val="2"/>
          <w:lang w:val="en-GB"/>
          <w14:ligatures w14:val="standardContextual"/>
        </w:rPr>
        <w:t xml:space="preserve">ordre </w:t>
      </w:r>
      <w:r w:rsidR="003E5B30" w:rsidRPr="00CB796C">
        <w:rPr>
          <w:i/>
          <w:iCs/>
          <w:kern w:val="2"/>
          <w:lang w:val="en-GB"/>
          <w14:ligatures w14:val="standardContextual"/>
        </w:rPr>
        <w:t>public</w:t>
      </w:r>
      <w:r w:rsidR="003E5B30">
        <w:rPr>
          <w:kern w:val="2"/>
          <w:lang w:val="en-GB"/>
          <w14:ligatures w14:val="standardContextual"/>
        </w:rPr>
        <w:t xml:space="preserve"> (Art. 11(1) lit. f EIO Directive).</w:t>
      </w:r>
      <w:r w:rsidR="003E5B30">
        <w:rPr>
          <w:rStyle w:val="Funotenzeichen"/>
          <w:kern w:val="2"/>
          <w:lang w:val="en-GB"/>
          <w14:ligatures w14:val="standardContextual"/>
        </w:rPr>
        <w:footnoteReference w:id="59"/>
      </w:r>
      <w:r w:rsidR="0041028C">
        <w:rPr>
          <w:kern w:val="2"/>
          <w:lang w:val="en-GB"/>
          <w14:ligatures w14:val="standardContextual"/>
        </w:rPr>
        <w:t xml:space="preserve"> The draft bill on the reform of the AICCM has maintained this distinction.</w:t>
      </w:r>
      <w:r w:rsidR="0041028C">
        <w:rPr>
          <w:rStyle w:val="Funotenzeichen"/>
          <w:kern w:val="2"/>
          <w:lang w:val="en-GB"/>
          <w14:ligatures w14:val="standardContextual"/>
        </w:rPr>
        <w:footnoteReference w:id="60"/>
      </w:r>
    </w:p>
    <w:p w14:paraId="719C0D77" w14:textId="77777777" w:rsidR="00F50175" w:rsidRPr="00514FA2" w:rsidRDefault="00F50175" w:rsidP="00DA724F">
      <w:pPr>
        <w:spacing w:line="360" w:lineRule="auto"/>
        <w:jc w:val="both"/>
        <w:rPr>
          <w:lang w:val="en-GB"/>
        </w:rPr>
      </w:pPr>
    </w:p>
    <w:p w14:paraId="355F9DC4" w14:textId="77777777" w:rsidR="00B73167" w:rsidRDefault="00BC2662" w:rsidP="00777A20">
      <w:pPr>
        <w:pStyle w:val="berschrift2"/>
        <w:numPr>
          <w:ilvl w:val="1"/>
          <w:numId w:val="5"/>
        </w:numPr>
        <w:ind w:left="567" w:firstLine="0"/>
        <w:rPr>
          <w:lang w:val="en-GB"/>
        </w:rPr>
      </w:pPr>
      <w:bookmarkStart w:id="16" w:name="_Toc147328913"/>
      <w:bookmarkStart w:id="17" w:name="_Toc147328947"/>
      <w:bookmarkStart w:id="18" w:name="_Toc147329059"/>
      <w:bookmarkStart w:id="19" w:name="_Toc170228489"/>
      <w:r>
        <w:rPr>
          <w:lang w:val="en-GB"/>
        </w:rPr>
        <w:t>Ratification of conventions</w:t>
      </w:r>
      <w:bookmarkEnd w:id="16"/>
      <w:bookmarkEnd w:id="17"/>
      <w:bookmarkEnd w:id="18"/>
      <w:bookmarkEnd w:id="19"/>
    </w:p>
    <w:p w14:paraId="30343AC7" w14:textId="7E59743B" w:rsidR="00BC2662" w:rsidRPr="00353C2A" w:rsidRDefault="006E60C8" w:rsidP="00DA724F">
      <w:pPr>
        <w:pStyle w:val="Listenabsatz"/>
        <w:numPr>
          <w:ilvl w:val="0"/>
          <w:numId w:val="54"/>
        </w:numPr>
        <w:spacing w:line="360" w:lineRule="auto"/>
        <w:ind w:left="1843" w:hanging="425"/>
        <w:jc w:val="both"/>
        <w:rPr>
          <w:lang w:val="en-GB"/>
        </w:rPr>
      </w:pPr>
      <w:bookmarkStart w:id="20" w:name="_Hlk149115076"/>
      <w:r w:rsidRPr="006E60C8">
        <w:rPr>
          <w:lang w:val="en-GB"/>
        </w:rPr>
        <w:t>EU Convention on Mutual Assistance in Criminal Matters</w:t>
      </w:r>
      <w:bookmarkEnd w:id="20"/>
      <w:r w:rsidR="00BC2662">
        <w:rPr>
          <w:lang w:val="en-GB"/>
        </w:rPr>
        <w:t>;</w:t>
      </w:r>
    </w:p>
    <w:p w14:paraId="5EBF9E36" w14:textId="77777777" w:rsidR="00BC2662" w:rsidRPr="00353C2A" w:rsidRDefault="00BC2662" w:rsidP="00DA724F">
      <w:pPr>
        <w:pStyle w:val="Listenabsatz"/>
        <w:numPr>
          <w:ilvl w:val="0"/>
          <w:numId w:val="54"/>
        </w:numPr>
        <w:spacing w:line="360" w:lineRule="auto"/>
        <w:ind w:left="1843" w:hanging="425"/>
        <w:jc w:val="both"/>
        <w:rPr>
          <w:lang w:val="en-GB"/>
        </w:rPr>
      </w:pPr>
      <w:r w:rsidRPr="00353C2A">
        <w:rPr>
          <w:lang w:val="en-GB"/>
        </w:rPr>
        <w:t>European Convention on the Transfer of Proceedings in Criminal Matters</w:t>
      </w:r>
      <w:r>
        <w:rPr>
          <w:lang w:val="en-GB"/>
        </w:rPr>
        <w:t>;</w:t>
      </w:r>
    </w:p>
    <w:p w14:paraId="4DF1BA25" w14:textId="1156D24A" w:rsidR="00BC2662" w:rsidRPr="00084B4D" w:rsidRDefault="00BC2662" w:rsidP="00033007">
      <w:pPr>
        <w:pStyle w:val="Listenabsatz"/>
        <w:numPr>
          <w:ilvl w:val="0"/>
          <w:numId w:val="54"/>
        </w:numPr>
        <w:spacing w:line="360" w:lineRule="auto"/>
        <w:ind w:left="1843" w:hanging="425"/>
        <w:jc w:val="both"/>
        <w:rPr>
          <w:lang w:val="en-GB"/>
        </w:rPr>
      </w:pPr>
      <w:r w:rsidRPr="00353C2A">
        <w:rPr>
          <w:lang w:val="en-GB"/>
        </w:rPr>
        <w:t xml:space="preserve">European Convention on Mutual </w:t>
      </w:r>
      <w:r>
        <w:rPr>
          <w:lang w:val="en-GB"/>
        </w:rPr>
        <w:t>Assistance in Criminal Matters.</w:t>
      </w:r>
    </w:p>
    <w:p w14:paraId="4D7F0BF6" w14:textId="78D8BCCA" w:rsidR="00BC2662" w:rsidRDefault="00BC2662" w:rsidP="00777A20">
      <w:pPr>
        <w:spacing w:line="360" w:lineRule="auto"/>
        <w:jc w:val="both"/>
        <w:rPr>
          <w:color w:val="FF0000"/>
          <w:lang w:val="en-GB"/>
        </w:rPr>
      </w:pPr>
      <w:r w:rsidRPr="00353C2A">
        <w:rPr>
          <w:color w:val="FF0000"/>
          <w:lang w:val="en-GB"/>
        </w:rPr>
        <w:t xml:space="preserve">Explain for each of those instruments whether your MS ratified them. If not, explain why not. </w:t>
      </w:r>
      <w:r w:rsidRPr="00F44757">
        <w:rPr>
          <w:color w:val="FF0000"/>
          <w:lang w:val="en-GB"/>
        </w:rPr>
        <w:t xml:space="preserve">If so, </w:t>
      </w:r>
      <w:r w:rsidR="00305AD8" w:rsidRPr="00F44757">
        <w:rPr>
          <w:color w:val="FF0000"/>
          <w:lang w:val="en-GB"/>
        </w:rPr>
        <w:t xml:space="preserve">explain whether your MS implemented them into national law and, if so, whether in separate laws or as a part of the Code of Criminal Procedure; also </w:t>
      </w:r>
      <w:r w:rsidRPr="00F44757">
        <w:rPr>
          <w:color w:val="FF0000"/>
          <w:lang w:val="en-GB"/>
        </w:rPr>
        <w:t>list any reservations and declarations your MS made that could have an impact on coherence.</w:t>
      </w:r>
      <w:r w:rsidR="00EE116B" w:rsidRPr="00F44757">
        <w:rPr>
          <w:rStyle w:val="Funotenzeichen"/>
          <w:color w:val="FF0000"/>
          <w:lang w:val="en-GB"/>
        </w:rPr>
        <w:footnoteReference w:id="61"/>
      </w:r>
    </w:p>
    <w:p w14:paraId="2DCF77E3" w14:textId="77777777" w:rsidR="00774F0D" w:rsidRDefault="00774F0D" w:rsidP="00777A20">
      <w:pPr>
        <w:spacing w:line="360" w:lineRule="auto"/>
        <w:jc w:val="both"/>
        <w:rPr>
          <w:color w:val="FF0000"/>
          <w:lang w:val="en-GB"/>
        </w:rPr>
      </w:pPr>
    </w:p>
    <w:p w14:paraId="64DEA034" w14:textId="40866357" w:rsidR="00454ABD" w:rsidRDefault="00BD2CE1" w:rsidP="00777A20">
      <w:pPr>
        <w:spacing w:line="360" w:lineRule="auto"/>
        <w:jc w:val="both"/>
        <w:rPr>
          <w:lang w:val="en-GB"/>
        </w:rPr>
      </w:pPr>
      <w:r>
        <w:rPr>
          <w:lang w:val="en-GB"/>
        </w:rPr>
        <w:t xml:space="preserve">Germany has ratified </w:t>
      </w:r>
      <w:r w:rsidR="00454ABD">
        <w:rPr>
          <w:lang w:val="en-GB"/>
        </w:rPr>
        <w:t>the EU Convention and the European Convention on Mutual Assistance in Criminal Matters</w:t>
      </w:r>
      <w:r>
        <w:rPr>
          <w:lang w:val="en-GB"/>
        </w:rPr>
        <w:t>.</w:t>
      </w:r>
      <w:r w:rsidR="00454ABD">
        <w:rPr>
          <w:rStyle w:val="Funotenzeichen"/>
          <w:lang w:val="en-GB"/>
        </w:rPr>
        <w:footnoteReference w:id="62"/>
      </w:r>
      <w:r>
        <w:rPr>
          <w:lang w:val="en-GB"/>
        </w:rPr>
        <w:t xml:space="preserve"> In the German legal order, a transposition of international treaties on cooperation in criminal matters is not necessary as far as their provisions are self-executing. The corresponding treaty provisions take precedence over the general provisions of the AICCM (section 1(3) AICCM). Accordingly, t</w:t>
      </w:r>
      <w:r w:rsidR="00340450">
        <w:rPr>
          <w:lang w:val="en-GB"/>
        </w:rPr>
        <w:t>he</w:t>
      </w:r>
      <w:r w:rsidR="00454ABD">
        <w:rPr>
          <w:lang w:val="en-GB"/>
        </w:rPr>
        <w:t xml:space="preserve">re </w:t>
      </w:r>
      <w:r w:rsidR="003E5B30">
        <w:rPr>
          <w:lang w:val="en-GB"/>
        </w:rPr>
        <w:t xml:space="preserve">are </w:t>
      </w:r>
      <w:r w:rsidR="00454ABD">
        <w:rPr>
          <w:lang w:val="en-GB"/>
        </w:rPr>
        <w:t>no implementing provisions in the</w:t>
      </w:r>
      <w:r w:rsidR="00340450">
        <w:rPr>
          <w:lang w:val="en-GB"/>
        </w:rPr>
        <w:t xml:space="preserve"> </w:t>
      </w:r>
      <w:r>
        <w:rPr>
          <w:lang w:val="en-GB"/>
        </w:rPr>
        <w:t xml:space="preserve">act on the </w:t>
      </w:r>
      <w:r w:rsidR="00340450">
        <w:rPr>
          <w:lang w:val="en-GB"/>
        </w:rPr>
        <w:t>ratification of the EU Convention on MLA</w:t>
      </w:r>
      <w:r w:rsidR="00454ABD">
        <w:rPr>
          <w:lang w:val="en-GB"/>
        </w:rPr>
        <w:t>, and the act ratifying th</w:t>
      </w:r>
      <w:r w:rsidR="003E5B30">
        <w:rPr>
          <w:lang w:val="en-GB"/>
        </w:rPr>
        <w:t xml:space="preserve">e Council of Europe Convention </w:t>
      </w:r>
      <w:r w:rsidR="00454ABD">
        <w:rPr>
          <w:lang w:val="en-GB"/>
        </w:rPr>
        <w:t xml:space="preserve">contains </w:t>
      </w:r>
      <w:r w:rsidR="003E5B30">
        <w:rPr>
          <w:lang w:val="en-GB"/>
        </w:rPr>
        <w:t>only few such provisions.</w:t>
      </w:r>
      <w:r w:rsidR="00551FBF">
        <w:rPr>
          <w:lang w:val="en-GB"/>
        </w:rPr>
        <w:t xml:space="preserve"> For instance, the double criminality requirement for search and seizure (Art. 5(1) lit. a, c) is implemented as a mandatory refusal ground (Art. 2(3) of the Act ratifying the Council of Europe Convention)</w:t>
      </w:r>
      <w:r w:rsidR="00E24ED6">
        <w:rPr>
          <w:lang w:val="en-GB"/>
        </w:rPr>
        <w:t xml:space="preserve">, and that service of a summons on an accused person shall be transmitted a month before the date set for appearance </w:t>
      </w:r>
      <w:r w:rsidR="00E24ED6">
        <w:rPr>
          <w:lang w:val="en-GB"/>
        </w:rPr>
        <w:lastRenderedPageBreak/>
        <w:t>(Art. 2(4) of the Act ratifying the Council of Europe Convention; see also Art. 7(4) of the Convention). Likewise the optional grounds for refusing the transfer of detained persons (Art. 11(1) Council of Europe Convention) have been implemented as mandatory (Art. 3(1) Act ratifying the Council of Europe Convention).</w:t>
      </w:r>
    </w:p>
    <w:p w14:paraId="172A30B1" w14:textId="77777777" w:rsidR="003E5B30" w:rsidRDefault="003E5B30" w:rsidP="00777A20">
      <w:pPr>
        <w:spacing w:line="360" w:lineRule="auto"/>
        <w:jc w:val="both"/>
        <w:rPr>
          <w:lang w:val="en-GB"/>
        </w:rPr>
      </w:pPr>
    </w:p>
    <w:p w14:paraId="570F2EF2" w14:textId="7E0EB5CE" w:rsidR="00395C00" w:rsidRDefault="00E24ED6" w:rsidP="008423EB">
      <w:pPr>
        <w:spacing w:line="360" w:lineRule="auto"/>
        <w:jc w:val="both"/>
        <w:rPr>
          <w:lang w:val="en-GB"/>
        </w:rPr>
      </w:pPr>
      <w:r>
        <w:rPr>
          <w:lang w:val="en-GB"/>
        </w:rPr>
        <w:t>Germany has not ratified</w:t>
      </w:r>
      <w:r w:rsidR="00454ABD">
        <w:rPr>
          <w:lang w:val="en-GB"/>
        </w:rPr>
        <w:t xml:space="preserve"> </w:t>
      </w:r>
      <w:r>
        <w:rPr>
          <w:lang w:val="en-GB"/>
        </w:rPr>
        <w:t>the European Convention on the Transfer of Proceedings in Criminal Ma</w:t>
      </w:r>
      <w:r w:rsidR="0084132E">
        <w:rPr>
          <w:lang w:val="en-GB"/>
        </w:rPr>
        <w:t xml:space="preserve">tters, due to </w:t>
      </w:r>
      <w:r w:rsidR="001D634F">
        <w:rPr>
          <w:lang w:val="en-GB"/>
        </w:rPr>
        <w:t xml:space="preserve">persisting </w:t>
      </w:r>
      <w:r w:rsidR="0084132E">
        <w:rPr>
          <w:lang w:val="en-GB"/>
        </w:rPr>
        <w:t xml:space="preserve">concerns that a determination of the forum and the applicable law by a transfer of proceedings </w:t>
      </w:r>
      <w:r w:rsidR="003768ED">
        <w:rPr>
          <w:lang w:val="en-GB"/>
        </w:rPr>
        <w:t>would</w:t>
      </w:r>
      <w:r w:rsidR="0084132E">
        <w:rPr>
          <w:lang w:val="en-GB"/>
        </w:rPr>
        <w:t xml:space="preserve"> violate the principle </w:t>
      </w:r>
      <w:r w:rsidR="0084132E">
        <w:rPr>
          <w:i/>
          <w:lang w:val="en-GB"/>
        </w:rPr>
        <w:t xml:space="preserve">nulla poena sine lege </w:t>
      </w:r>
      <w:r w:rsidR="0084132E">
        <w:rPr>
          <w:lang w:val="en-GB"/>
        </w:rPr>
        <w:t>(Art. 103(2) Basic Law) and the right to the natural judge (</w:t>
      </w:r>
      <w:r w:rsidR="00EE7D99">
        <w:rPr>
          <w:lang w:val="en-GB"/>
        </w:rPr>
        <w:t>‘</w:t>
      </w:r>
      <w:r w:rsidR="0084132E">
        <w:rPr>
          <w:lang w:val="en-GB"/>
        </w:rPr>
        <w:t>Garantie des gesetzlichen Richters</w:t>
      </w:r>
      <w:r w:rsidR="00EE7D99">
        <w:rPr>
          <w:lang w:val="en-GB"/>
        </w:rPr>
        <w:t>’</w:t>
      </w:r>
      <w:r w:rsidR="0084132E">
        <w:rPr>
          <w:lang w:val="en-GB"/>
        </w:rPr>
        <w:t xml:space="preserve"> – Art. 101(1)2 Basic Law)</w:t>
      </w:r>
      <w:r w:rsidR="003768ED">
        <w:rPr>
          <w:lang w:val="en-GB"/>
        </w:rPr>
        <w:t>.</w:t>
      </w:r>
      <w:r w:rsidR="0084132E">
        <w:rPr>
          <w:rStyle w:val="Funotenzeichen"/>
          <w:lang w:val="en-GB"/>
        </w:rPr>
        <w:footnoteReference w:id="63"/>
      </w:r>
      <w:r w:rsidR="003768ED">
        <w:rPr>
          <w:lang w:val="en-GB"/>
        </w:rPr>
        <w:t xml:space="preserve"> As a consequence, a transfer of proceedings may only be triggered by a laying of information in connection </w:t>
      </w:r>
      <w:r w:rsidR="00B1684B">
        <w:rPr>
          <w:lang w:val="en-GB"/>
        </w:rPr>
        <w:t>with</w:t>
      </w:r>
      <w:r w:rsidR="003768ED">
        <w:rPr>
          <w:lang w:val="en-GB"/>
        </w:rPr>
        <w:t xml:space="preserve"> proceedings under Art. 21 of the Council of Europe Convention on Mutual Assistance in Criminal Matters and bilateral treaties supplementing this </w:t>
      </w:r>
      <w:r w:rsidR="00B1684B">
        <w:rPr>
          <w:lang w:val="en-GB"/>
        </w:rPr>
        <w:t>Convention</w:t>
      </w:r>
      <w:r w:rsidR="003768ED">
        <w:rPr>
          <w:rStyle w:val="Funotenzeichen"/>
          <w:lang w:val="en-GB"/>
        </w:rPr>
        <w:footnoteReference w:id="64"/>
      </w:r>
      <w:r w:rsidR="00D512B1">
        <w:rPr>
          <w:lang w:val="en-GB"/>
        </w:rPr>
        <w:t xml:space="preserve">. </w:t>
      </w:r>
      <w:r w:rsidR="001A4ED7">
        <w:rPr>
          <w:lang w:val="en-GB"/>
        </w:rPr>
        <w:t xml:space="preserve">In contrast to other cooperation instruments, the transfer of criminal proceedings is not governed by specific provisions in the AICCM because it does not fall within the scope of legal assistance as defined in section 59(2) AICCM </w:t>
      </w:r>
      <w:r w:rsidR="009542BC">
        <w:rPr>
          <w:lang w:val="en-GB"/>
        </w:rPr>
        <w:t>(assistance</w:t>
      </w:r>
      <w:r w:rsidR="009542BC" w:rsidRPr="009542BC">
        <w:rPr>
          <w:lang w:val="en-GB"/>
        </w:rPr>
        <w:t xml:space="preserve"> </w:t>
      </w:r>
      <w:r w:rsidR="009542BC">
        <w:rPr>
          <w:lang w:val="en-GB"/>
        </w:rPr>
        <w:t xml:space="preserve">in foreign </w:t>
      </w:r>
      <w:r w:rsidR="009542BC" w:rsidRPr="009542BC">
        <w:rPr>
          <w:lang w:val="en-GB"/>
        </w:rPr>
        <w:t>proceedings in a criminal matter</w:t>
      </w:r>
      <w:r w:rsidR="009542BC">
        <w:rPr>
          <w:lang w:val="en-GB"/>
        </w:rPr>
        <w:t>).</w:t>
      </w:r>
      <w:r w:rsidR="009542BC" w:rsidRPr="009542BC">
        <w:rPr>
          <w:lang w:val="en-GB"/>
        </w:rPr>
        <w:t xml:space="preserve"> </w:t>
      </w:r>
      <w:r w:rsidR="00D512B1">
        <w:rPr>
          <w:lang w:val="en-GB"/>
        </w:rPr>
        <w:t>Thus, transfer of criminal proceedings is based upon a transmission of information that triggers a criminal investigation rather than a request for prosecution.</w:t>
      </w:r>
      <w:r w:rsidR="00D512B1">
        <w:rPr>
          <w:rStyle w:val="Funotenzeichen"/>
          <w:lang w:val="en-GB"/>
        </w:rPr>
        <w:footnoteReference w:id="65"/>
      </w:r>
      <w:r w:rsidR="00D512B1">
        <w:rPr>
          <w:lang w:val="en-GB"/>
        </w:rPr>
        <w:t xml:space="preserve"> </w:t>
      </w:r>
      <w:r w:rsidR="008423EB">
        <w:rPr>
          <w:lang w:val="en-GB"/>
        </w:rPr>
        <w:t>Th</w:t>
      </w:r>
      <w:r w:rsidR="00F94169">
        <w:rPr>
          <w:lang w:val="en-GB"/>
        </w:rPr>
        <w:t>e</w:t>
      </w:r>
      <w:r w:rsidR="00FB5AD0">
        <w:rPr>
          <w:lang w:val="en-GB"/>
        </w:rPr>
        <w:t>reby, the</w:t>
      </w:r>
      <w:r w:rsidR="008423EB">
        <w:rPr>
          <w:lang w:val="en-GB"/>
        </w:rPr>
        <w:t xml:space="preserve"> mechanism comes close to the spontaneous exchange of information (Art. 7 EU Convention on Mutual Assistance) that has been implemented in section 92c AICCM. According to section 92c(2) No. 1 </w:t>
      </w:r>
      <w:r w:rsidR="005820B4">
        <w:rPr>
          <w:lang w:val="en-GB"/>
        </w:rPr>
        <w:t xml:space="preserve">lit. a </w:t>
      </w:r>
      <w:r w:rsidR="008423EB">
        <w:rPr>
          <w:lang w:val="en-GB"/>
        </w:rPr>
        <w:t xml:space="preserve">AICCM, a public prosecutor </w:t>
      </w:r>
      <w:r w:rsidR="008423EB" w:rsidRPr="008423EB">
        <w:rPr>
          <w:lang w:val="en-GB"/>
        </w:rPr>
        <w:t>may,</w:t>
      </w:r>
      <w:r w:rsidR="005820B4">
        <w:rPr>
          <w:lang w:val="en-GB"/>
        </w:rPr>
        <w:t xml:space="preserve"> without a request, transmit </w:t>
      </w:r>
      <w:r w:rsidR="008423EB" w:rsidRPr="008423EB">
        <w:rPr>
          <w:lang w:val="en-GB"/>
        </w:rPr>
        <w:t xml:space="preserve">personal data </w:t>
      </w:r>
      <w:r w:rsidR="005820B4">
        <w:rPr>
          <w:lang w:val="en-GB"/>
        </w:rPr>
        <w:t xml:space="preserve">to another Member State if the </w:t>
      </w:r>
      <w:r w:rsidR="008423EB" w:rsidRPr="008423EB">
        <w:rPr>
          <w:lang w:val="en-GB"/>
        </w:rPr>
        <w:t>transmission is suited to</w:t>
      </w:r>
      <w:r w:rsidR="005820B4">
        <w:rPr>
          <w:lang w:val="en-GB"/>
        </w:rPr>
        <w:t xml:space="preserve"> </w:t>
      </w:r>
      <w:r w:rsidR="008423EB" w:rsidRPr="008423EB">
        <w:rPr>
          <w:lang w:val="en-GB"/>
        </w:rPr>
        <w:t>instituting criminal proceedings in the other Member State</w:t>
      </w:r>
      <w:r w:rsidR="005820B4">
        <w:rPr>
          <w:lang w:val="en-GB"/>
        </w:rPr>
        <w:t xml:space="preserve">. </w:t>
      </w:r>
      <w:r w:rsidR="00F94169">
        <w:rPr>
          <w:lang w:val="en-GB"/>
        </w:rPr>
        <w:t>The spontaneous transmission of data, however, does not extend to the transmission of the case</w:t>
      </w:r>
      <w:r w:rsidR="005B35A9">
        <w:rPr>
          <w:lang w:val="en-GB"/>
        </w:rPr>
        <w:t xml:space="preserve"> </w:t>
      </w:r>
      <w:r w:rsidR="00F94169">
        <w:rPr>
          <w:lang w:val="en-GB"/>
        </w:rPr>
        <w:t>file.</w:t>
      </w:r>
      <w:r w:rsidR="00F94169">
        <w:rPr>
          <w:rStyle w:val="Funotenzeichen"/>
          <w:lang w:val="en-GB"/>
        </w:rPr>
        <w:footnoteReference w:id="66"/>
      </w:r>
      <w:r w:rsidR="00F94169">
        <w:rPr>
          <w:lang w:val="en-GB"/>
        </w:rPr>
        <w:t xml:space="preserve"> </w:t>
      </w:r>
      <w:r w:rsidR="005B1436">
        <w:rPr>
          <w:lang w:val="en-GB"/>
        </w:rPr>
        <w:t xml:space="preserve">In this regard, Art. 21 of the </w:t>
      </w:r>
      <w:r w:rsidR="005B1436">
        <w:rPr>
          <w:lang w:val="en-GB"/>
        </w:rPr>
        <w:lastRenderedPageBreak/>
        <w:t>Council of Europe Convention on Mutual Assistance in Criminal Matters, and the bilateral treaties supplementing this Convention in particular, allow for a broader understanding.</w:t>
      </w:r>
      <w:r w:rsidR="005B1436">
        <w:rPr>
          <w:rStyle w:val="Funotenzeichen"/>
          <w:lang w:val="en-GB"/>
        </w:rPr>
        <w:footnoteReference w:id="67"/>
      </w:r>
      <w:r w:rsidR="005B1436">
        <w:rPr>
          <w:lang w:val="en-GB"/>
        </w:rPr>
        <w:t xml:space="preserve"> Accordingly</w:t>
      </w:r>
      <w:r w:rsidR="00F94169" w:rsidRPr="00F94169">
        <w:rPr>
          <w:lang w:val="en-GB"/>
        </w:rPr>
        <w:t xml:space="preserve">, </w:t>
      </w:r>
      <w:r w:rsidR="00FB5AD0">
        <w:rPr>
          <w:lang w:val="en-GB"/>
        </w:rPr>
        <w:t xml:space="preserve">No. 146(2) of </w:t>
      </w:r>
      <w:r w:rsidR="00F94169" w:rsidRPr="00F94169">
        <w:rPr>
          <w:lang w:val="en-GB"/>
        </w:rPr>
        <w:t xml:space="preserve">the Guidelines for International Cooperation in Criminal Matters </w:t>
      </w:r>
      <w:r w:rsidR="00595632">
        <w:rPr>
          <w:lang w:val="en-GB"/>
        </w:rPr>
        <w:t xml:space="preserve">– GICCM </w:t>
      </w:r>
      <w:r w:rsidR="00F94169" w:rsidRPr="00F94169">
        <w:rPr>
          <w:lang w:val="en-GB"/>
        </w:rPr>
        <w:t>(</w:t>
      </w:r>
      <w:r w:rsidR="009A4F06">
        <w:rPr>
          <w:lang w:val="en-GB"/>
        </w:rPr>
        <w:t>‘</w:t>
      </w:r>
      <w:r w:rsidR="00F94169" w:rsidRPr="00CB796C">
        <w:rPr>
          <w:iCs/>
          <w:lang w:val="en-GB"/>
        </w:rPr>
        <w:t>Richtlinien für den Verkehr mit dem Ausland in strafrechtlichen Angelegenheiten – RiVASt</w:t>
      </w:r>
      <w:r w:rsidR="009A4F06">
        <w:rPr>
          <w:iCs/>
          <w:lang w:val="en-GB"/>
        </w:rPr>
        <w:t>’</w:t>
      </w:r>
      <w:r w:rsidR="00F94169" w:rsidRPr="00F94169">
        <w:rPr>
          <w:i/>
          <w:lang w:val="en-GB"/>
        </w:rPr>
        <w:t xml:space="preserve">) </w:t>
      </w:r>
      <w:r w:rsidR="00F94169" w:rsidRPr="00F94169">
        <w:rPr>
          <w:lang w:val="en-GB"/>
        </w:rPr>
        <w:t>expressly provide</w:t>
      </w:r>
      <w:r w:rsidR="00FB5AD0">
        <w:rPr>
          <w:lang w:val="en-GB"/>
        </w:rPr>
        <w:t>s that an outgoing request</w:t>
      </w:r>
      <w:r w:rsidR="00F94169" w:rsidRPr="00F94169">
        <w:rPr>
          <w:lang w:val="en-GB"/>
        </w:rPr>
        <w:t xml:space="preserve"> for </w:t>
      </w:r>
      <w:r w:rsidR="00F94169">
        <w:rPr>
          <w:lang w:val="en-GB"/>
        </w:rPr>
        <w:t xml:space="preserve">prosecution </w:t>
      </w:r>
      <w:r w:rsidR="00FB5AD0">
        <w:rPr>
          <w:lang w:val="en-GB"/>
        </w:rPr>
        <w:t>shall contain a copy of the case</w:t>
      </w:r>
      <w:r w:rsidR="00C55B79">
        <w:rPr>
          <w:lang w:val="en-GB"/>
        </w:rPr>
        <w:t xml:space="preserve"> </w:t>
      </w:r>
      <w:r w:rsidR="00FB5AD0">
        <w:rPr>
          <w:lang w:val="en-GB"/>
        </w:rPr>
        <w:t>file</w:t>
      </w:r>
      <w:r w:rsidR="00F94169">
        <w:rPr>
          <w:lang w:val="en-GB"/>
        </w:rPr>
        <w:t>.</w:t>
      </w:r>
      <w:r w:rsidR="002C05B7">
        <w:rPr>
          <w:lang w:val="en-GB"/>
        </w:rPr>
        <w:t xml:space="preserve"> </w:t>
      </w:r>
    </w:p>
    <w:p w14:paraId="4268CF3D" w14:textId="3FBFAD7E" w:rsidR="00206D1B" w:rsidRPr="00206D1B" w:rsidRDefault="00395C00" w:rsidP="008423EB">
      <w:pPr>
        <w:spacing w:line="360" w:lineRule="auto"/>
        <w:jc w:val="both"/>
        <w:rPr>
          <w:lang w:val="en-US"/>
        </w:rPr>
      </w:pPr>
      <w:r>
        <w:rPr>
          <w:lang w:val="en-GB"/>
        </w:rPr>
        <w:t xml:space="preserve">Under </w:t>
      </w:r>
      <w:r w:rsidR="00244CD0">
        <w:rPr>
          <w:lang w:val="en-US"/>
        </w:rPr>
        <w:t>Regulation (EU) 2024/3011 on the transfer of proceedings in criminal matters</w:t>
      </w:r>
      <w:r w:rsidR="002C05B7">
        <w:rPr>
          <w:rStyle w:val="Funotenzeichen"/>
          <w:lang w:val="en-GB"/>
        </w:rPr>
        <w:footnoteReference w:id="68"/>
      </w:r>
      <w:r w:rsidR="002C05B7">
        <w:rPr>
          <w:lang w:val="en-GB"/>
        </w:rPr>
        <w:t xml:space="preserve">, requesting authorities </w:t>
      </w:r>
      <w:r w:rsidR="001815E1">
        <w:rPr>
          <w:lang w:val="en-GB"/>
        </w:rPr>
        <w:t>(</w:t>
      </w:r>
      <w:r w:rsidR="00692586">
        <w:t xml:space="preserve">designated central authorities, see Art. 20) </w:t>
      </w:r>
      <w:r w:rsidR="002C05B7">
        <w:rPr>
          <w:lang w:val="en-GB"/>
        </w:rPr>
        <w:t xml:space="preserve">will be able to initiate a transfer of proceedings either on their own initiative or following a proposal from a suspect, accused person, or victim (recital </w:t>
      </w:r>
      <w:r w:rsidR="00776EC6">
        <w:rPr>
          <w:lang w:val="en-GB"/>
        </w:rPr>
        <w:t>(</w:t>
      </w:r>
      <w:r w:rsidR="002C05B7">
        <w:rPr>
          <w:lang w:val="en-GB"/>
        </w:rPr>
        <w:t>24</w:t>
      </w:r>
      <w:r w:rsidR="00776EC6">
        <w:rPr>
          <w:lang w:val="en-GB"/>
        </w:rPr>
        <w:t>)</w:t>
      </w:r>
      <w:r w:rsidR="002C05B7">
        <w:rPr>
          <w:lang w:val="en-GB"/>
        </w:rPr>
        <w:t xml:space="preserve">). </w:t>
      </w:r>
      <w:r w:rsidR="0041093A">
        <w:rPr>
          <w:lang w:val="en-GB"/>
        </w:rPr>
        <w:t>According to Art. 33(1), t</w:t>
      </w:r>
      <w:r w:rsidR="00033007">
        <w:rPr>
          <w:lang w:val="en-GB"/>
        </w:rPr>
        <w:t xml:space="preserve">he Regulation </w:t>
      </w:r>
      <w:r w:rsidR="0041093A">
        <w:rPr>
          <w:lang w:val="en-GB"/>
        </w:rPr>
        <w:t xml:space="preserve">replaces </w:t>
      </w:r>
      <w:r w:rsidR="00033007">
        <w:rPr>
          <w:lang w:val="en-GB"/>
        </w:rPr>
        <w:t xml:space="preserve">the existing mechanism under Art. 21 of the Council of Europe Convention on Mutual Assistance in Criminal Matters </w:t>
      </w:r>
      <w:r w:rsidR="0041093A">
        <w:rPr>
          <w:lang w:val="en-GB"/>
        </w:rPr>
        <w:t xml:space="preserve">(see, however, with regard to the spontaneous exchange of information </w:t>
      </w:r>
      <w:r w:rsidR="0041093A">
        <w:rPr>
          <w:i/>
          <w:lang w:val="en-GB"/>
        </w:rPr>
        <w:t xml:space="preserve">infra </w:t>
      </w:r>
      <w:r w:rsidR="0041093A">
        <w:rPr>
          <w:lang w:val="en-GB"/>
        </w:rPr>
        <w:t xml:space="preserve">3.2. (a)) and </w:t>
      </w:r>
      <w:r w:rsidR="00033007">
        <w:rPr>
          <w:lang w:val="en-GB"/>
        </w:rPr>
        <w:t xml:space="preserve">establishes a request-based mechanism that requires </w:t>
      </w:r>
      <w:r w:rsidR="00033007">
        <w:t>a</w:t>
      </w:r>
      <w:r w:rsidR="00206D1B">
        <w:t xml:space="preserve">  completed request form </w:t>
      </w:r>
      <w:r w:rsidR="00C00A42">
        <w:t>(Art. 8(1)</w:t>
      </w:r>
      <w:r w:rsidR="00D6086E">
        <w:t>)</w:t>
      </w:r>
      <w:r w:rsidR="00C00A42">
        <w:t xml:space="preserve"> </w:t>
      </w:r>
      <w:r w:rsidR="00206D1B">
        <w:t>and at least the essential parts of any written supporting documentation or information</w:t>
      </w:r>
      <w:r w:rsidR="00FE58B4">
        <w:t>,</w:t>
      </w:r>
      <w:r w:rsidR="00206D1B">
        <w:t xml:space="preserve"> translated into a language accepted by the requested State</w:t>
      </w:r>
      <w:r w:rsidR="00033007">
        <w:t xml:space="preserve"> (Art. 8</w:t>
      </w:r>
      <w:r w:rsidR="00D6086E">
        <w:t>(5)</w:t>
      </w:r>
      <w:r w:rsidR="00206D1B">
        <w:t xml:space="preserve">). </w:t>
      </w:r>
      <w:r w:rsidR="00C9132E">
        <w:rPr>
          <w:lang w:val="en-GB"/>
        </w:rPr>
        <w:t>Where the requested authority has accepted the transfer of criminal proceedings</w:t>
      </w:r>
      <w:r w:rsidR="0052179E">
        <w:rPr>
          <w:lang w:val="en-GB"/>
        </w:rPr>
        <w:t>,</w:t>
      </w:r>
      <w:r w:rsidR="00C9132E">
        <w:rPr>
          <w:lang w:val="en-GB"/>
        </w:rPr>
        <w:t xml:space="preserve"> </w:t>
      </w:r>
      <w:r w:rsidR="00206D1B">
        <w:rPr>
          <w:lang w:val="en-GB"/>
        </w:rPr>
        <w:t>Art. 9(1) obligates the requesting authority to provide all relevant documents necessary for processing the transfer request, which includes the case</w:t>
      </w:r>
      <w:r w:rsidR="000B36F2">
        <w:rPr>
          <w:lang w:val="en-GB"/>
        </w:rPr>
        <w:t xml:space="preserve"> </w:t>
      </w:r>
      <w:r w:rsidR="00206D1B">
        <w:rPr>
          <w:lang w:val="en-GB"/>
        </w:rPr>
        <w:t>file</w:t>
      </w:r>
      <w:r w:rsidR="00DC2F2B">
        <w:rPr>
          <w:lang w:val="en-GB"/>
        </w:rPr>
        <w:t xml:space="preserve">. </w:t>
      </w:r>
    </w:p>
    <w:p w14:paraId="74AC3524" w14:textId="7E9DC6E2" w:rsidR="00BD2CE1" w:rsidRPr="002E1C83" w:rsidRDefault="00BD2CE1" w:rsidP="00777A20">
      <w:pPr>
        <w:spacing w:line="360" w:lineRule="auto"/>
        <w:jc w:val="both"/>
        <w:rPr>
          <w:lang w:val="en-US"/>
        </w:rPr>
      </w:pPr>
    </w:p>
    <w:p w14:paraId="35B7063B" w14:textId="77777777" w:rsidR="00BC2662" w:rsidRDefault="00BC2662" w:rsidP="00777A20">
      <w:pPr>
        <w:pStyle w:val="berschrift2"/>
        <w:numPr>
          <w:ilvl w:val="1"/>
          <w:numId w:val="5"/>
        </w:numPr>
        <w:ind w:left="567" w:firstLine="0"/>
        <w:rPr>
          <w:lang w:val="en-GB"/>
        </w:rPr>
      </w:pPr>
      <w:bookmarkStart w:id="21" w:name="_Toc147328914"/>
      <w:bookmarkStart w:id="22" w:name="_Toc147328948"/>
      <w:bookmarkStart w:id="23" w:name="_Toc147329060"/>
      <w:bookmarkStart w:id="24" w:name="_Toc170228490"/>
      <w:r>
        <w:rPr>
          <w:lang w:val="en-GB"/>
        </w:rPr>
        <w:t>Competent (judicial) authorities and central authorities</w:t>
      </w:r>
      <w:bookmarkEnd w:id="21"/>
      <w:bookmarkEnd w:id="22"/>
      <w:bookmarkEnd w:id="23"/>
      <w:bookmarkEnd w:id="24"/>
    </w:p>
    <w:p w14:paraId="4976C7F8" w14:textId="77777777" w:rsidR="00BC2662" w:rsidRDefault="00BC2662" w:rsidP="00777A20">
      <w:pPr>
        <w:pStyle w:val="berschrift3"/>
        <w:numPr>
          <w:ilvl w:val="2"/>
          <w:numId w:val="5"/>
        </w:numPr>
        <w:ind w:left="1560" w:hanging="709"/>
        <w:rPr>
          <w:lang w:val="en-GB"/>
        </w:rPr>
      </w:pPr>
      <w:bookmarkStart w:id="25" w:name="_Toc147328915"/>
      <w:bookmarkStart w:id="26" w:name="_Toc147328949"/>
      <w:bookmarkStart w:id="27" w:name="_Toc147329061"/>
      <w:bookmarkStart w:id="28" w:name="_Toc170228491"/>
      <w:r>
        <w:rPr>
          <w:lang w:val="en-GB"/>
        </w:rPr>
        <w:t>Competent (judicial) authorities</w:t>
      </w:r>
      <w:bookmarkEnd w:id="25"/>
      <w:bookmarkEnd w:id="26"/>
      <w:bookmarkEnd w:id="27"/>
      <w:bookmarkEnd w:id="28"/>
    </w:p>
    <w:p w14:paraId="6CE25A52" w14:textId="5C44FB3D" w:rsidR="00BC2662" w:rsidRPr="00BC2662" w:rsidRDefault="00BC2662" w:rsidP="00777A20">
      <w:pPr>
        <w:pStyle w:val="Listenabsatz"/>
        <w:numPr>
          <w:ilvl w:val="0"/>
          <w:numId w:val="12"/>
        </w:numPr>
        <w:spacing w:line="360" w:lineRule="auto"/>
        <w:ind w:left="1843" w:hanging="425"/>
        <w:jc w:val="both"/>
        <w:rPr>
          <w:lang w:val="en-GB"/>
        </w:rPr>
      </w:pPr>
      <w:r w:rsidRPr="00BC2662">
        <w:rPr>
          <w:lang w:val="en-GB"/>
        </w:rPr>
        <w:t>FD 2002/584/JHA</w:t>
      </w:r>
      <w:r>
        <w:rPr>
          <w:lang w:val="en-GB"/>
        </w:rPr>
        <w:t>;</w:t>
      </w:r>
    </w:p>
    <w:p w14:paraId="42AFE4D7" w14:textId="75EE1964" w:rsidR="00BC2662" w:rsidRPr="00BC2662" w:rsidRDefault="00BC2662" w:rsidP="00777A20">
      <w:pPr>
        <w:pStyle w:val="Listenabsatz"/>
        <w:numPr>
          <w:ilvl w:val="0"/>
          <w:numId w:val="12"/>
        </w:numPr>
        <w:spacing w:line="360" w:lineRule="auto"/>
        <w:ind w:left="1843" w:hanging="425"/>
        <w:jc w:val="both"/>
        <w:rPr>
          <w:lang w:val="en-GB"/>
        </w:rPr>
      </w:pPr>
      <w:r w:rsidRPr="00BC2662">
        <w:rPr>
          <w:lang w:val="en-GB"/>
        </w:rPr>
        <w:t>FD 2008/909/JHA</w:t>
      </w:r>
      <w:r>
        <w:rPr>
          <w:lang w:val="en-GB"/>
        </w:rPr>
        <w:t>;</w:t>
      </w:r>
    </w:p>
    <w:p w14:paraId="70EAD90E" w14:textId="0B82A4B8" w:rsidR="00BC2662" w:rsidRPr="00353C2A" w:rsidRDefault="00BC2662" w:rsidP="00777A20">
      <w:pPr>
        <w:pStyle w:val="Listenabsatz"/>
        <w:numPr>
          <w:ilvl w:val="0"/>
          <w:numId w:val="12"/>
        </w:numPr>
        <w:spacing w:line="360" w:lineRule="auto"/>
        <w:ind w:left="1843" w:hanging="425"/>
        <w:jc w:val="both"/>
        <w:rPr>
          <w:lang w:val="en-GB"/>
        </w:rPr>
      </w:pPr>
      <w:r w:rsidRPr="00353C2A">
        <w:rPr>
          <w:lang w:val="en-GB"/>
        </w:rPr>
        <w:t>FD 2008/947/JHA</w:t>
      </w:r>
      <w:r>
        <w:rPr>
          <w:lang w:val="en-GB"/>
        </w:rPr>
        <w:t>;</w:t>
      </w:r>
    </w:p>
    <w:p w14:paraId="7C95DCD4" w14:textId="7544C573" w:rsidR="00BC2662" w:rsidRPr="00353C2A" w:rsidRDefault="00BC2662" w:rsidP="00777A20">
      <w:pPr>
        <w:pStyle w:val="Listenabsatz"/>
        <w:numPr>
          <w:ilvl w:val="0"/>
          <w:numId w:val="12"/>
        </w:numPr>
        <w:spacing w:line="360" w:lineRule="auto"/>
        <w:ind w:left="1843" w:hanging="425"/>
        <w:jc w:val="both"/>
        <w:rPr>
          <w:lang w:val="en-GB"/>
        </w:rPr>
      </w:pPr>
      <w:r w:rsidRPr="00353C2A">
        <w:rPr>
          <w:lang w:val="en-GB"/>
        </w:rPr>
        <w:t>FD 2009/829/JHA</w:t>
      </w:r>
      <w:r>
        <w:rPr>
          <w:lang w:val="en-GB"/>
        </w:rPr>
        <w:t>;</w:t>
      </w:r>
    </w:p>
    <w:p w14:paraId="1C459CD7" w14:textId="414C19CD" w:rsidR="00BC2662" w:rsidRPr="00353C2A" w:rsidRDefault="00BC2662" w:rsidP="00777A20">
      <w:pPr>
        <w:pStyle w:val="Listenabsatz"/>
        <w:numPr>
          <w:ilvl w:val="0"/>
          <w:numId w:val="12"/>
        </w:numPr>
        <w:spacing w:line="360" w:lineRule="auto"/>
        <w:ind w:left="1843" w:hanging="425"/>
        <w:jc w:val="both"/>
        <w:rPr>
          <w:lang w:val="en-GB"/>
        </w:rPr>
      </w:pPr>
      <w:r w:rsidRPr="00353C2A">
        <w:rPr>
          <w:lang w:val="en-GB"/>
        </w:rPr>
        <w:t>Directive 2014/41/EU</w:t>
      </w:r>
      <w:r>
        <w:rPr>
          <w:lang w:val="en-GB"/>
        </w:rPr>
        <w:t>;</w:t>
      </w:r>
    </w:p>
    <w:p w14:paraId="359EA645" w14:textId="0BB39AE7" w:rsidR="00BC2662" w:rsidRPr="00353C2A" w:rsidRDefault="006E60C8" w:rsidP="00777A20">
      <w:pPr>
        <w:pStyle w:val="Listenabsatz"/>
        <w:numPr>
          <w:ilvl w:val="0"/>
          <w:numId w:val="12"/>
        </w:numPr>
        <w:spacing w:line="360" w:lineRule="auto"/>
        <w:ind w:left="1843" w:hanging="425"/>
        <w:jc w:val="both"/>
        <w:rPr>
          <w:lang w:val="en-GB"/>
        </w:rPr>
      </w:pPr>
      <w:r w:rsidRPr="006E60C8">
        <w:rPr>
          <w:lang w:val="en-GB"/>
        </w:rPr>
        <w:t>EU Convention on Mutual Assistance in Criminal Matters</w:t>
      </w:r>
      <w:r w:rsidR="00BC2662">
        <w:rPr>
          <w:lang w:val="en-GB"/>
        </w:rPr>
        <w:t>;</w:t>
      </w:r>
    </w:p>
    <w:p w14:paraId="225D6774" w14:textId="77777777" w:rsidR="00BC2662" w:rsidRPr="00353C2A" w:rsidRDefault="00BC2662" w:rsidP="00777A20">
      <w:pPr>
        <w:pStyle w:val="Listenabsatz"/>
        <w:numPr>
          <w:ilvl w:val="0"/>
          <w:numId w:val="12"/>
        </w:numPr>
        <w:spacing w:line="360" w:lineRule="auto"/>
        <w:ind w:left="1843" w:hanging="425"/>
        <w:jc w:val="both"/>
        <w:rPr>
          <w:lang w:val="en-GB"/>
        </w:rPr>
      </w:pPr>
      <w:r w:rsidRPr="00353C2A">
        <w:rPr>
          <w:lang w:val="en-GB"/>
        </w:rPr>
        <w:t>European Convention on the Transfer of Proceedings in Criminal Matters</w:t>
      </w:r>
      <w:r>
        <w:rPr>
          <w:lang w:val="en-GB"/>
        </w:rPr>
        <w:t>;</w:t>
      </w:r>
    </w:p>
    <w:p w14:paraId="7456A46E" w14:textId="77777777" w:rsidR="00BC2662" w:rsidRPr="00BC2662" w:rsidRDefault="00BC2662" w:rsidP="00777A20">
      <w:pPr>
        <w:pStyle w:val="Listenabsatz"/>
        <w:numPr>
          <w:ilvl w:val="0"/>
          <w:numId w:val="12"/>
        </w:numPr>
        <w:spacing w:line="360" w:lineRule="auto"/>
        <w:ind w:left="1843" w:hanging="425"/>
        <w:jc w:val="both"/>
        <w:rPr>
          <w:color w:val="FF0000"/>
          <w:lang w:val="en-GB"/>
        </w:rPr>
      </w:pPr>
      <w:r w:rsidRPr="00353C2A">
        <w:rPr>
          <w:lang w:val="en-GB"/>
        </w:rPr>
        <w:t>European Convention on Mutual Assistance in Criminal Matters</w:t>
      </w:r>
      <w:r>
        <w:rPr>
          <w:lang w:val="en-GB"/>
        </w:rPr>
        <w:t>.</w:t>
      </w:r>
    </w:p>
    <w:p w14:paraId="3AEF0141" w14:textId="77777777" w:rsidR="00BC2662" w:rsidRPr="00BC2662" w:rsidRDefault="00BC2662" w:rsidP="00777A20">
      <w:pPr>
        <w:spacing w:line="360" w:lineRule="auto"/>
        <w:ind w:left="1418"/>
        <w:jc w:val="both"/>
        <w:rPr>
          <w:color w:val="FF0000"/>
          <w:lang w:val="en-GB"/>
        </w:rPr>
      </w:pPr>
    </w:p>
    <w:p w14:paraId="7E0FE6A9" w14:textId="77777777" w:rsidR="00BC2662" w:rsidRPr="00353C2A" w:rsidRDefault="00BC2662" w:rsidP="00777A20">
      <w:pPr>
        <w:spacing w:line="360" w:lineRule="auto"/>
        <w:jc w:val="both"/>
        <w:rPr>
          <w:color w:val="FF0000"/>
          <w:lang w:val="en-GB"/>
        </w:rPr>
      </w:pPr>
      <w:r w:rsidRPr="00353C2A">
        <w:rPr>
          <w:color w:val="FF0000"/>
          <w:lang w:val="en-GB"/>
        </w:rPr>
        <w:t xml:space="preserve">Describe which (judicial) authorities are competent under each of those instruments.  </w:t>
      </w:r>
    </w:p>
    <w:p w14:paraId="4310EF9C" w14:textId="1DB980FC" w:rsidR="00BC2662" w:rsidRPr="00F44757" w:rsidRDefault="00BC2662" w:rsidP="00777A20">
      <w:pPr>
        <w:spacing w:line="360" w:lineRule="auto"/>
        <w:jc w:val="both"/>
        <w:rPr>
          <w:color w:val="FF0000"/>
          <w:kern w:val="2"/>
          <w:lang w:val="en-GB"/>
          <w14:ligatures w14:val="standardContextual"/>
        </w:rPr>
      </w:pPr>
      <w:r w:rsidRPr="00353C2A">
        <w:rPr>
          <w:color w:val="FF0000"/>
          <w:lang w:val="en-GB"/>
        </w:rPr>
        <w:lastRenderedPageBreak/>
        <w:t>C</w:t>
      </w:r>
      <w:r w:rsidRPr="00353C2A">
        <w:rPr>
          <w:color w:val="FF0000"/>
          <w:kern w:val="2"/>
          <w:lang w:val="en-GB"/>
          <w14:ligatures w14:val="standardContextual"/>
        </w:rPr>
        <w:t>oncerning FD 2009/829/JHA and FD 2008/947/JHA: explain how the condition of equivalence</w:t>
      </w:r>
      <w:r w:rsidRPr="00353C2A">
        <w:rPr>
          <w:rStyle w:val="Funotenzeichen"/>
          <w:rFonts w:eastAsiaTheme="majorEastAsia"/>
          <w:color w:val="FF0000"/>
          <w:kern w:val="2"/>
          <w:lang w:val="en-GB"/>
          <w14:ligatures w14:val="standardContextual"/>
        </w:rPr>
        <w:footnoteReference w:id="69"/>
      </w:r>
      <w:r w:rsidRPr="00353C2A">
        <w:rPr>
          <w:color w:val="FF0000"/>
          <w:kern w:val="2"/>
          <w:lang w:val="en-GB"/>
          <w14:ligatures w14:val="standardContextual"/>
        </w:rPr>
        <w:t xml:space="preserve"> is met (Art. 3(2) of FD 2008/947/JHA; Article 6(2) of FD 2009/829/JHA) if the designated competent authority is not a ‘judicial’ authority.</w:t>
      </w:r>
      <w:r w:rsidR="00106115">
        <w:rPr>
          <w:color w:val="FF0000"/>
          <w:kern w:val="2"/>
          <w:lang w:val="en-GB"/>
          <w14:ligatures w14:val="standardContextual"/>
        </w:rPr>
        <w:t xml:space="preserve"> </w:t>
      </w:r>
      <w:r w:rsidR="00106115" w:rsidRPr="00F44757">
        <w:rPr>
          <w:color w:val="FF0000"/>
          <w:kern w:val="2"/>
          <w:lang w:val="en-GB"/>
          <w14:ligatures w14:val="standardContextual"/>
        </w:rPr>
        <w:t xml:space="preserve">Also, if the designated competent authority is not a ‘judicial’ authority, explain the reasons for the choice.  </w:t>
      </w:r>
    </w:p>
    <w:p w14:paraId="7BC50437" w14:textId="77777777" w:rsidR="00BC2662" w:rsidRDefault="00BC2662" w:rsidP="00777A20">
      <w:pPr>
        <w:pStyle w:val="Listenabsatz"/>
        <w:spacing w:line="360" w:lineRule="auto"/>
        <w:ind w:left="0"/>
        <w:jc w:val="both"/>
        <w:rPr>
          <w:color w:val="FF0000"/>
          <w:lang w:val="en-GB"/>
        </w:rPr>
      </w:pPr>
      <w:r w:rsidRPr="00353C2A">
        <w:rPr>
          <w:color w:val="FF0000"/>
          <w:lang w:val="en-GB"/>
        </w:rPr>
        <w:t>Explain how the right to an effective remedy before a tribunal (Article 47(1) of the Charter) is guaranteed, if the competent authority is not a court.</w:t>
      </w:r>
    </w:p>
    <w:p w14:paraId="503FBC4C" w14:textId="009BFB85" w:rsidR="003A5F21" w:rsidRDefault="003A5F21" w:rsidP="00777A20">
      <w:pPr>
        <w:pStyle w:val="Listenabsatz"/>
        <w:spacing w:line="360" w:lineRule="auto"/>
        <w:ind w:left="0"/>
        <w:jc w:val="both"/>
        <w:rPr>
          <w:lang w:val="en-US"/>
        </w:rPr>
      </w:pPr>
    </w:p>
    <w:p w14:paraId="53F0A96B" w14:textId="0CB6DAA2" w:rsidR="00FD5662" w:rsidRDefault="00AF2645" w:rsidP="003D3705">
      <w:pPr>
        <w:pStyle w:val="Listenabsatz"/>
        <w:spacing w:line="360" w:lineRule="auto"/>
        <w:ind w:left="0"/>
        <w:jc w:val="both"/>
        <w:rPr>
          <w:lang w:val="en-GB"/>
        </w:rPr>
      </w:pPr>
      <w:r>
        <w:rPr>
          <w:lang w:val="en-US"/>
        </w:rPr>
        <w:t>According to t</w:t>
      </w:r>
      <w:r w:rsidRPr="00AF2645">
        <w:rPr>
          <w:lang w:val="en-US"/>
        </w:rPr>
        <w:t xml:space="preserve">he </w:t>
      </w:r>
      <w:r>
        <w:rPr>
          <w:lang w:val="en-US"/>
        </w:rPr>
        <w:t xml:space="preserve">general rule on the competent authorities for incoming and outgoing requests </w:t>
      </w:r>
      <w:r w:rsidRPr="00AF2645">
        <w:rPr>
          <w:lang w:val="en-US"/>
        </w:rPr>
        <w:t>(</w:t>
      </w:r>
      <w:r>
        <w:rPr>
          <w:lang w:val="en-US"/>
        </w:rPr>
        <w:t>section</w:t>
      </w:r>
      <w:r w:rsidRPr="00AF2645">
        <w:rPr>
          <w:lang w:val="en-US"/>
        </w:rPr>
        <w:t xml:space="preserve"> 74 </w:t>
      </w:r>
      <w:r>
        <w:rPr>
          <w:lang w:val="en-US"/>
        </w:rPr>
        <w:t xml:space="preserve">AICCM), </w:t>
      </w:r>
      <w:r w:rsidRPr="00AF2645">
        <w:rPr>
          <w:lang w:val="en-US"/>
        </w:rPr>
        <w:t>the exercise of this competence has been delegated to the governments of the states (</w:t>
      </w:r>
      <w:r w:rsidR="008A4302">
        <w:rPr>
          <w:lang w:val="en-US"/>
        </w:rPr>
        <w:t>‘</w:t>
      </w:r>
      <w:r w:rsidRPr="00CB796C">
        <w:rPr>
          <w:iCs/>
          <w:lang w:val="en-US"/>
        </w:rPr>
        <w:t>Länder</w:t>
      </w:r>
      <w:r w:rsidR="008A4302">
        <w:rPr>
          <w:iCs/>
          <w:lang w:val="en-US"/>
        </w:rPr>
        <w:t>’</w:t>
      </w:r>
      <w:r w:rsidRPr="00AF2645">
        <w:rPr>
          <w:lang w:val="en-US"/>
        </w:rPr>
        <w:t>).</w:t>
      </w:r>
      <w:r>
        <w:rPr>
          <w:rStyle w:val="Funotenzeichen"/>
          <w:lang w:val="en-US"/>
        </w:rPr>
        <w:footnoteReference w:id="70"/>
      </w:r>
      <w:r w:rsidRPr="00AF2645">
        <w:rPr>
          <w:lang w:val="en-US"/>
        </w:rPr>
        <w:t xml:space="preserve"> </w:t>
      </w:r>
      <w:r w:rsidR="00D424CE">
        <w:rPr>
          <w:lang w:val="en-US"/>
        </w:rPr>
        <w:t xml:space="preserve">The </w:t>
      </w:r>
      <w:r w:rsidR="00D424CE">
        <w:rPr>
          <w:lang w:val="en-GB"/>
        </w:rPr>
        <w:t xml:space="preserve">states </w:t>
      </w:r>
      <w:r w:rsidR="00AF3647">
        <w:rPr>
          <w:lang w:val="en-GB"/>
        </w:rPr>
        <w:t xml:space="preserve">further </w:t>
      </w:r>
      <w:r w:rsidR="00D424CE">
        <w:rPr>
          <w:lang w:val="en-GB"/>
        </w:rPr>
        <w:t>delegated the</w:t>
      </w:r>
      <w:r>
        <w:rPr>
          <w:lang w:val="en-GB"/>
        </w:rPr>
        <w:t xml:space="preserve"> </w:t>
      </w:r>
      <w:r w:rsidRPr="00AF2645">
        <w:rPr>
          <w:lang w:val="en-GB"/>
        </w:rPr>
        <w:t xml:space="preserve">competence </w:t>
      </w:r>
      <w:r w:rsidR="00D424CE">
        <w:rPr>
          <w:lang w:val="en-GB"/>
        </w:rPr>
        <w:t>to issue a</w:t>
      </w:r>
      <w:r w:rsidR="00225895">
        <w:rPr>
          <w:lang w:val="en-GB"/>
        </w:rPr>
        <w:t>n</w:t>
      </w:r>
      <w:r w:rsidR="00D424CE">
        <w:rPr>
          <w:lang w:val="en-GB"/>
        </w:rPr>
        <w:t xml:space="preserve"> EAW </w:t>
      </w:r>
      <w:r w:rsidRPr="00AF2645">
        <w:rPr>
          <w:lang w:val="en-GB"/>
        </w:rPr>
        <w:t xml:space="preserve">to the public prosecution service </w:t>
      </w:r>
      <w:r w:rsidR="005161AA">
        <w:rPr>
          <w:lang w:val="en-GB"/>
        </w:rPr>
        <w:t>having local jurisdiction</w:t>
      </w:r>
      <w:r w:rsidRPr="00AF2645">
        <w:rPr>
          <w:lang w:val="en-GB"/>
        </w:rPr>
        <w:t>.</w:t>
      </w:r>
      <w:r w:rsidR="00D424CE">
        <w:rPr>
          <w:rStyle w:val="Funotenzeichen"/>
          <w:lang w:val="en-GB"/>
        </w:rPr>
        <w:footnoteReference w:id="71"/>
      </w:r>
      <w:r w:rsidRPr="00AF2645">
        <w:rPr>
          <w:lang w:val="en-GB"/>
        </w:rPr>
        <w:t xml:space="preserve"> </w:t>
      </w:r>
    </w:p>
    <w:p w14:paraId="6B647D4F" w14:textId="4774C808" w:rsidR="00FD5662" w:rsidRDefault="00FD5662" w:rsidP="003D3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de-DE"/>
        </w:rPr>
      </w:pPr>
      <w:r>
        <w:rPr>
          <w:lang w:val="en" w:eastAsia="de-DE"/>
        </w:rPr>
        <w:t xml:space="preserve">In accordance with Article 6(3) of FD </w:t>
      </w:r>
      <w:r w:rsidR="00292625">
        <w:rPr>
          <w:lang w:val="en-GB"/>
        </w:rPr>
        <w:t>2002/584/JHA</w:t>
      </w:r>
      <w:r>
        <w:rPr>
          <w:lang w:val="en" w:eastAsia="de-DE"/>
        </w:rPr>
        <w:t xml:space="preserve"> </w:t>
      </w:r>
      <w:r w:rsidRPr="00B56E49">
        <w:rPr>
          <w:lang w:val="en" w:eastAsia="de-DE"/>
        </w:rPr>
        <w:t xml:space="preserve">Germany </w:t>
      </w:r>
      <w:r>
        <w:rPr>
          <w:lang w:val="en" w:eastAsia="de-DE"/>
        </w:rPr>
        <w:t>had declared</w:t>
      </w:r>
      <w:r w:rsidR="00464EE2">
        <w:rPr>
          <w:rStyle w:val="Funotenzeichen"/>
          <w:lang w:val="en" w:eastAsia="de-DE"/>
        </w:rPr>
        <w:footnoteReference w:id="72"/>
      </w:r>
      <w:r w:rsidRPr="00B56E49">
        <w:rPr>
          <w:lang w:val="en" w:eastAsia="de-DE"/>
        </w:rPr>
        <w:t xml:space="preserve"> </w:t>
      </w:r>
      <w:r>
        <w:rPr>
          <w:lang w:val="en" w:eastAsia="de-DE"/>
        </w:rPr>
        <w:t>that</w:t>
      </w:r>
      <w:r w:rsidRPr="00B56E49">
        <w:rPr>
          <w:lang w:val="en" w:eastAsia="de-DE"/>
        </w:rPr>
        <w:t xml:space="preserve"> </w:t>
      </w:r>
      <w:r>
        <w:rPr>
          <w:lang w:val="en" w:eastAsia="de-DE"/>
        </w:rPr>
        <w:t>t</w:t>
      </w:r>
      <w:r w:rsidRPr="00B56E49">
        <w:rPr>
          <w:lang w:val="en" w:eastAsia="de-DE"/>
        </w:rPr>
        <w:t>he competent judicial authorities pursuant to Article 6</w:t>
      </w:r>
      <w:r>
        <w:rPr>
          <w:lang w:val="en" w:eastAsia="de-DE"/>
        </w:rPr>
        <w:t>(1)</w:t>
      </w:r>
      <w:r w:rsidRPr="00B56E49">
        <w:rPr>
          <w:lang w:val="en" w:eastAsia="de-DE"/>
        </w:rPr>
        <w:t xml:space="preserve"> </w:t>
      </w:r>
      <w:r w:rsidR="00AF3647">
        <w:rPr>
          <w:lang w:val="en" w:eastAsia="de-DE"/>
        </w:rPr>
        <w:t>were</w:t>
      </w:r>
      <w:r w:rsidRPr="00B56E49">
        <w:rPr>
          <w:lang w:val="en" w:eastAsia="de-DE"/>
        </w:rPr>
        <w:t xml:space="preserve"> the Ministries of Justice</w:t>
      </w:r>
      <w:r w:rsidR="003B02FD">
        <w:rPr>
          <w:lang w:val="en" w:eastAsia="de-DE"/>
        </w:rPr>
        <w:t xml:space="preserve"> of the Federal Republic and of the </w:t>
      </w:r>
      <w:r w:rsidR="00622A40">
        <w:rPr>
          <w:lang w:val="en" w:eastAsia="de-DE"/>
        </w:rPr>
        <w:t>‘</w:t>
      </w:r>
      <w:r w:rsidR="003B02FD">
        <w:rPr>
          <w:lang w:val="en" w:eastAsia="de-DE"/>
        </w:rPr>
        <w:t>Länder</w:t>
      </w:r>
      <w:r w:rsidR="00622A40">
        <w:rPr>
          <w:lang w:val="en" w:eastAsia="de-DE"/>
        </w:rPr>
        <w:t>’</w:t>
      </w:r>
      <w:r>
        <w:rPr>
          <w:lang w:val="en" w:eastAsia="de-DE"/>
        </w:rPr>
        <w:t>, who ha</w:t>
      </w:r>
      <w:r w:rsidR="00AF3647">
        <w:rPr>
          <w:lang w:val="en" w:eastAsia="de-DE"/>
        </w:rPr>
        <w:t>d</w:t>
      </w:r>
      <w:r>
        <w:rPr>
          <w:lang w:val="en" w:eastAsia="de-DE"/>
        </w:rPr>
        <w:t xml:space="preserve"> </w:t>
      </w:r>
      <w:r w:rsidRPr="00B56E49">
        <w:rPr>
          <w:lang w:val="en" w:eastAsia="de-DE"/>
        </w:rPr>
        <w:t>delegated the exe</w:t>
      </w:r>
      <w:r w:rsidR="003B02FD">
        <w:rPr>
          <w:lang w:val="en" w:eastAsia="de-DE"/>
        </w:rPr>
        <w:t>cution</w:t>
      </w:r>
      <w:r w:rsidRPr="00B56E49">
        <w:rPr>
          <w:lang w:val="en" w:eastAsia="de-DE"/>
        </w:rPr>
        <w:t xml:space="preserve"> of their powers under the </w:t>
      </w:r>
      <w:r>
        <w:rPr>
          <w:lang w:val="en" w:eastAsia="de-DE"/>
        </w:rPr>
        <w:t>FD</w:t>
      </w:r>
      <w:r w:rsidRPr="00B56E49">
        <w:rPr>
          <w:lang w:val="en" w:eastAsia="de-DE"/>
        </w:rPr>
        <w:t xml:space="preserve"> to issue outgoing requests to the </w:t>
      </w:r>
      <w:r>
        <w:rPr>
          <w:lang w:val="en" w:eastAsia="de-DE"/>
        </w:rPr>
        <w:t>public prosecut</w:t>
      </w:r>
      <w:r w:rsidR="003B02FD">
        <w:rPr>
          <w:lang w:val="en" w:eastAsia="de-DE"/>
        </w:rPr>
        <w:t>or’s</w:t>
      </w:r>
      <w:r>
        <w:rPr>
          <w:lang w:val="en" w:eastAsia="de-DE"/>
        </w:rPr>
        <w:t xml:space="preserve"> offices </w:t>
      </w:r>
      <w:r w:rsidR="003B02FD">
        <w:rPr>
          <w:lang w:val="en" w:eastAsia="de-DE"/>
        </w:rPr>
        <w:t xml:space="preserve">of the </w:t>
      </w:r>
      <w:r w:rsidR="00622A40">
        <w:rPr>
          <w:lang w:val="en" w:eastAsia="de-DE"/>
        </w:rPr>
        <w:t>‘</w:t>
      </w:r>
      <w:r w:rsidR="003B02FD">
        <w:rPr>
          <w:lang w:val="en" w:eastAsia="de-DE"/>
        </w:rPr>
        <w:t>Länder</w:t>
      </w:r>
      <w:r w:rsidR="00622A40">
        <w:rPr>
          <w:lang w:val="en" w:eastAsia="de-DE"/>
        </w:rPr>
        <w:t>’</w:t>
      </w:r>
      <w:r w:rsidR="003B02FD">
        <w:rPr>
          <w:lang w:val="en" w:eastAsia="de-DE"/>
        </w:rPr>
        <w:t xml:space="preserve"> and to the regional</w:t>
      </w:r>
      <w:r w:rsidR="00292625">
        <w:rPr>
          <w:lang w:val="en" w:eastAsia="de-DE"/>
        </w:rPr>
        <w:t xml:space="preserve"> court</w:t>
      </w:r>
      <w:r w:rsidR="003B02FD">
        <w:rPr>
          <w:lang w:val="en" w:eastAsia="de-DE"/>
        </w:rPr>
        <w:t>s</w:t>
      </w:r>
      <w:r w:rsidRPr="00B56E49">
        <w:rPr>
          <w:lang w:val="en" w:eastAsia="de-DE"/>
        </w:rPr>
        <w:t>, and the power to authorize incoming requests Article 6</w:t>
      </w:r>
      <w:r>
        <w:rPr>
          <w:lang w:val="en" w:eastAsia="de-DE"/>
        </w:rPr>
        <w:t xml:space="preserve">(2) </w:t>
      </w:r>
      <w:r w:rsidRPr="00B56E49">
        <w:rPr>
          <w:lang w:val="en" w:eastAsia="de-DE"/>
        </w:rPr>
        <w:t>to th</w:t>
      </w:r>
      <w:r w:rsidR="00292625">
        <w:rPr>
          <w:lang w:val="en" w:eastAsia="de-DE"/>
        </w:rPr>
        <w:t xml:space="preserve">e </w:t>
      </w:r>
      <w:r w:rsidR="003B02FD">
        <w:rPr>
          <w:lang w:val="en" w:eastAsia="de-DE"/>
        </w:rPr>
        <w:t xml:space="preserve">chief </w:t>
      </w:r>
      <w:r w:rsidR="00292625">
        <w:rPr>
          <w:lang w:val="en" w:eastAsia="de-DE"/>
        </w:rPr>
        <w:t>public prosecut</w:t>
      </w:r>
      <w:r w:rsidR="003B02FD">
        <w:rPr>
          <w:lang w:val="en" w:eastAsia="de-DE"/>
        </w:rPr>
        <w:t>or’s</w:t>
      </w:r>
      <w:r w:rsidR="00292625">
        <w:rPr>
          <w:lang w:val="en" w:eastAsia="de-DE"/>
        </w:rPr>
        <w:t xml:space="preserve"> office</w:t>
      </w:r>
      <w:r w:rsidR="003B02FD">
        <w:rPr>
          <w:lang w:val="en" w:eastAsia="de-DE"/>
        </w:rPr>
        <w:t>s</w:t>
      </w:r>
      <w:r w:rsidR="00292625">
        <w:rPr>
          <w:lang w:val="en" w:eastAsia="de-DE"/>
        </w:rPr>
        <w:t xml:space="preserve"> </w:t>
      </w:r>
      <w:r w:rsidR="003B02FD">
        <w:rPr>
          <w:lang w:val="en" w:eastAsia="de-DE"/>
        </w:rPr>
        <w:t xml:space="preserve">of the </w:t>
      </w:r>
      <w:r w:rsidR="00622A40">
        <w:rPr>
          <w:lang w:val="en" w:eastAsia="de-DE"/>
        </w:rPr>
        <w:t>‘</w:t>
      </w:r>
      <w:r w:rsidR="003B02FD">
        <w:rPr>
          <w:lang w:val="en" w:eastAsia="de-DE"/>
        </w:rPr>
        <w:t>Länder</w:t>
      </w:r>
      <w:r w:rsidR="00622A40">
        <w:rPr>
          <w:lang w:val="en" w:eastAsia="de-DE"/>
        </w:rPr>
        <w:t>’</w:t>
      </w:r>
      <w:r w:rsidRPr="00B56E49">
        <w:rPr>
          <w:lang w:val="en" w:eastAsia="de-DE"/>
        </w:rPr>
        <w:t>.</w:t>
      </w:r>
      <w:r>
        <w:rPr>
          <w:rStyle w:val="Funotenzeichen"/>
          <w:lang w:val="en" w:eastAsia="de-DE"/>
        </w:rPr>
        <w:footnoteReference w:id="73"/>
      </w:r>
    </w:p>
    <w:p w14:paraId="2A6EAF79" w14:textId="77777777" w:rsidR="003B02FD" w:rsidRPr="007D78D2" w:rsidRDefault="003B02FD" w:rsidP="007D7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en-US" w:eastAsia="de-DE"/>
        </w:rPr>
      </w:pPr>
    </w:p>
    <w:p w14:paraId="3A45F27A" w14:textId="5DEE2A27" w:rsidR="003D0900" w:rsidRDefault="00AF2645" w:rsidP="003D3705">
      <w:pPr>
        <w:pStyle w:val="Listenabsatz"/>
        <w:spacing w:line="360" w:lineRule="auto"/>
        <w:ind w:left="0"/>
        <w:jc w:val="both"/>
        <w:rPr>
          <w:lang w:val="en-GB"/>
        </w:rPr>
      </w:pPr>
      <w:r w:rsidRPr="00AF2645">
        <w:rPr>
          <w:lang w:val="en-GB"/>
        </w:rPr>
        <w:t xml:space="preserve">Thereby, the public prosecution service has acted as </w:t>
      </w:r>
      <w:r w:rsidR="00AF3647">
        <w:rPr>
          <w:lang w:val="en-GB"/>
        </w:rPr>
        <w:t xml:space="preserve">the </w:t>
      </w:r>
      <w:r w:rsidRPr="00AF2645">
        <w:rPr>
          <w:lang w:val="en-GB"/>
        </w:rPr>
        <w:t xml:space="preserve">judicial authority competent for issuing a European Arrest Warrant until the Court of Justice held that the German public prosecution service did not qualify as judicial authority because it could be subject to instructions by the ministry of justice and, therefore, lacked the institutional framework necessary for the effective </w:t>
      </w:r>
      <w:r w:rsidRPr="00AF2645">
        <w:rPr>
          <w:lang w:val="en-GB"/>
        </w:rPr>
        <w:lastRenderedPageBreak/>
        <w:t>judicial protection of the rights of the individual by an independent body.</w:t>
      </w:r>
      <w:r w:rsidR="0073577B">
        <w:rPr>
          <w:rStyle w:val="Funotenzeichen"/>
          <w:lang w:val="en-GB"/>
        </w:rPr>
        <w:footnoteReference w:id="74"/>
      </w:r>
      <w:r w:rsidR="0073577B">
        <w:rPr>
          <w:lang w:val="en-GB"/>
        </w:rPr>
        <w:t xml:space="preserve"> </w:t>
      </w:r>
      <w:r w:rsidRPr="00AF2645">
        <w:rPr>
          <w:lang w:val="en-GB"/>
        </w:rPr>
        <w:t xml:space="preserve">As a consequence, European Arrest Warrants are no </w:t>
      </w:r>
      <w:r w:rsidR="00DF1F0D">
        <w:rPr>
          <w:lang w:val="en-GB"/>
        </w:rPr>
        <w:t>longer</w:t>
      </w:r>
      <w:r w:rsidRPr="00AF2645">
        <w:rPr>
          <w:lang w:val="en-GB"/>
        </w:rPr>
        <w:t xml:space="preserve"> issued by the public prosecution service on its own, but based upon authorisation by the district court. The court decision is to be based upon the power to issue an (international) arrest notice (</w:t>
      </w:r>
      <w:r w:rsidR="0073577B">
        <w:rPr>
          <w:lang w:val="en-GB"/>
        </w:rPr>
        <w:t>section</w:t>
      </w:r>
      <w:r w:rsidRPr="00AF2645">
        <w:rPr>
          <w:lang w:val="en-GB"/>
        </w:rPr>
        <w:t xml:space="preserve"> 131</w:t>
      </w:r>
      <w:r w:rsidR="0073577B">
        <w:rPr>
          <w:lang w:val="en-GB"/>
        </w:rPr>
        <w:t>(1) of the Code on Criminal Procedure - CPP</w:t>
      </w:r>
      <w:r w:rsidRPr="00AF2645">
        <w:rPr>
          <w:lang w:val="en-GB"/>
        </w:rPr>
        <w:t>) and/or the power to adopt court decisions necessary for the enforcement of the sentence</w:t>
      </w:r>
      <w:r w:rsidR="0073577B">
        <w:rPr>
          <w:lang w:val="en-GB"/>
        </w:rPr>
        <w:t xml:space="preserve"> (section</w:t>
      </w:r>
      <w:r w:rsidRPr="00AF2645">
        <w:rPr>
          <w:lang w:val="en-GB"/>
        </w:rPr>
        <w:t xml:space="preserve"> 457</w:t>
      </w:r>
      <w:r w:rsidR="0073577B">
        <w:rPr>
          <w:lang w:val="en-GB"/>
        </w:rPr>
        <w:t>(3)</w:t>
      </w:r>
      <w:r w:rsidR="0068349F">
        <w:rPr>
          <w:lang w:val="en-GB"/>
        </w:rPr>
        <w:t>3</w:t>
      </w:r>
      <w:r w:rsidR="0073577B">
        <w:rPr>
          <w:lang w:val="en-GB"/>
        </w:rPr>
        <w:t xml:space="preserve"> CPP</w:t>
      </w:r>
      <w:r w:rsidRPr="00AF2645">
        <w:rPr>
          <w:lang w:val="en-GB"/>
        </w:rPr>
        <w:t>).</w:t>
      </w:r>
      <w:r w:rsidR="0073577B">
        <w:rPr>
          <w:rStyle w:val="Funotenzeichen"/>
          <w:lang w:val="en-GB"/>
        </w:rPr>
        <w:footnoteReference w:id="75"/>
      </w:r>
      <w:r w:rsidR="0073577B">
        <w:rPr>
          <w:lang w:val="en-GB"/>
        </w:rPr>
        <w:t xml:space="preserve"> </w:t>
      </w:r>
      <w:r w:rsidR="00274180">
        <w:rPr>
          <w:lang w:val="en-GB"/>
        </w:rPr>
        <w:t xml:space="preserve">So, the issuing authority for </w:t>
      </w:r>
      <w:r w:rsidR="008B0E15">
        <w:rPr>
          <w:lang w:val="en-GB"/>
        </w:rPr>
        <w:t>EAWs</w:t>
      </w:r>
      <w:r w:rsidR="00274180">
        <w:rPr>
          <w:lang w:val="en-GB"/>
        </w:rPr>
        <w:t xml:space="preserve"> is now the court competent for issuing (or maintaining) the national arrest warrant.</w:t>
      </w:r>
      <w:r w:rsidR="00274180">
        <w:rPr>
          <w:rStyle w:val="Funotenzeichen"/>
          <w:lang w:val="en-GB"/>
        </w:rPr>
        <w:footnoteReference w:id="76"/>
      </w:r>
      <w:r w:rsidR="00BF4725">
        <w:rPr>
          <w:lang w:val="en-GB"/>
        </w:rPr>
        <w:t xml:space="preserve"> </w:t>
      </w:r>
    </w:p>
    <w:p w14:paraId="5FD7BA3F" w14:textId="5412755E" w:rsidR="00292625" w:rsidRDefault="00292625" w:rsidP="003D3705">
      <w:pPr>
        <w:pStyle w:val="Listenabsatz"/>
        <w:spacing w:line="360" w:lineRule="auto"/>
        <w:ind w:left="0"/>
        <w:jc w:val="both"/>
        <w:rPr>
          <w:lang w:val="en-GB"/>
        </w:rPr>
      </w:pPr>
      <w:r>
        <w:rPr>
          <w:lang w:val="en-GB"/>
        </w:rPr>
        <w:t xml:space="preserve">Subsequently the declaration ex Article 6(3) of FD 2002/584/JHA was recently </w:t>
      </w:r>
      <w:r w:rsidR="00D6446D">
        <w:rPr>
          <w:lang w:val="en-GB"/>
        </w:rPr>
        <w:t>amended</w:t>
      </w:r>
      <w:r>
        <w:rPr>
          <w:lang w:val="en-GB"/>
        </w:rPr>
        <w:t>,</w:t>
      </w:r>
      <w:r w:rsidR="006A569D">
        <w:rPr>
          <w:rStyle w:val="Funotenzeichen"/>
          <w:lang w:val="en-GB"/>
        </w:rPr>
        <w:footnoteReference w:id="77"/>
      </w:r>
      <w:r>
        <w:rPr>
          <w:lang w:val="en-GB"/>
        </w:rPr>
        <w:t xml:space="preserve"> and now </w:t>
      </w:r>
      <w:r w:rsidR="003B7968">
        <w:rPr>
          <w:lang w:val="en-GB"/>
        </w:rPr>
        <w:t xml:space="preserve">exclusively </w:t>
      </w:r>
      <w:r>
        <w:rPr>
          <w:lang w:val="en-GB"/>
        </w:rPr>
        <w:t xml:space="preserve">designates courts as </w:t>
      </w:r>
      <w:r w:rsidR="003B7968">
        <w:rPr>
          <w:lang w:val="en-GB"/>
        </w:rPr>
        <w:t xml:space="preserve">the </w:t>
      </w:r>
      <w:r>
        <w:rPr>
          <w:lang w:val="en-GB"/>
        </w:rPr>
        <w:t>competent authorities</w:t>
      </w:r>
      <w:r w:rsidR="003B7968">
        <w:rPr>
          <w:lang w:val="en-GB"/>
        </w:rPr>
        <w:t>,</w:t>
      </w:r>
      <w:r>
        <w:rPr>
          <w:lang w:val="en-GB"/>
        </w:rPr>
        <w:t xml:space="preserve"> instead of public prosecution offices. The local, regional or higher regional courts</w:t>
      </w:r>
      <w:r w:rsidR="000368A6">
        <w:rPr>
          <w:lang w:val="en-GB"/>
        </w:rPr>
        <w:t>, as well as</w:t>
      </w:r>
      <w:r>
        <w:rPr>
          <w:lang w:val="en-GB"/>
        </w:rPr>
        <w:t xml:space="preserve"> the Federal Court of Justice</w:t>
      </w:r>
      <w:r w:rsidR="000368A6">
        <w:rPr>
          <w:lang w:val="en-GB"/>
        </w:rPr>
        <w:t>,</w:t>
      </w:r>
      <w:r>
        <w:rPr>
          <w:lang w:val="en-GB"/>
        </w:rPr>
        <w:t xml:space="preserve"> are </w:t>
      </w:r>
      <w:r w:rsidR="000368A6">
        <w:rPr>
          <w:lang w:val="en-GB"/>
        </w:rPr>
        <w:t>now listed</w:t>
      </w:r>
      <w:r>
        <w:rPr>
          <w:lang w:val="en-GB"/>
        </w:rPr>
        <w:t xml:space="preserve"> as the issuing judicial authorities under Article 6(1)</w:t>
      </w:r>
      <w:r w:rsidR="00D81F47">
        <w:rPr>
          <w:lang w:val="en-GB"/>
        </w:rPr>
        <w:t xml:space="preserve"> FD 2002/584/JHA</w:t>
      </w:r>
      <w:r>
        <w:rPr>
          <w:lang w:val="en-GB"/>
        </w:rPr>
        <w:t>, whereas t</w:t>
      </w:r>
      <w:r w:rsidR="00A21117">
        <w:rPr>
          <w:lang w:val="en-GB"/>
        </w:rPr>
        <w:t>he executing judicial authorities under Article 6(2)</w:t>
      </w:r>
      <w:r w:rsidR="0049435A">
        <w:rPr>
          <w:lang w:val="en-GB"/>
        </w:rPr>
        <w:t xml:space="preserve"> </w:t>
      </w:r>
      <w:r w:rsidR="004D7835">
        <w:rPr>
          <w:lang w:val="en-GB"/>
        </w:rPr>
        <w:t>FD</w:t>
      </w:r>
      <w:r w:rsidR="00D81F47">
        <w:rPr>
          <w:lang w:val="en-GB"/>
        </w:rPr>
        <w:t xml:space="preserve"> 2002/584/JHA </w:t>
      </w:r>
      <w:r>
        <w:rPr>
          <w:lang w:val="en-GB"/>
        </w:rPr>
        <w:t xml:space="preserve">are the </w:t>
      </w:r>
      <w:r w:rsidR="00A21117">
        <w:rPr>
          <w:lang w:val="en-GB"/>
        </w:rPr>
        <w:t>higher regional courts.</w:t>
      </w:r>
    </w:p>
    <w:p w14:paraId="2E47D73B" w14:textId="65119AA4" w:rsidR="00AF2645" w:rsidRDefault="00BF4725" w:rsidP="003D3705">
      <w:pPr>
        <w:pStyle w:val="Listenabsatz"/>
        <w:spacing w:line="360" w:lineRule="auto"/>
        <w:ind w:left="0"/>
        <w:jc w:val="both"/>
        <w:rPr>
          <w:lang w:val="en-GB"/>
        </w:rPr>
      </w:pPr>
      <w:r>
        <w:rPr>
          <w:lang w:val="en-GB"/>
        </w:rPr>
        <w:t>The requirement of a court decision has led to significant delays, in particular with regard to EAWs for the purpose of enforcement.</w:t>
      </w:r>
      <w:r>
        <w:rPr>
          <w:rStyle w:val="Funotenzeichen"/>
          <w:lang w:val="en-GB"/>
        </w:rPr>
        <w:footnoteReference w:id="78"/>
      </w:r>
    </w:p>
    <w:p w14:paraId="6F666E40" w14:textId="77777777" w:rsidR="008B0E15" w:rsidRPr="00AF2645" w:rsidRDefault="008B0E15" w:rsidP="00AF2645">
      <w:pPr>
        <w:pStyle w:val="Listenabsatz"/>
        <w:spacing w:line="360" w:lineRule="auto"/>
        <w:ind w:left="0"/>
        <w:rPr>
          <w:lang w:val="en-GB"/>
        </w:rPr>
      </w:pPr>
    </w:p>
    <w:p w14:paraId="1CC3C8E3" w14:textId="580CA35C" w:rsidR="00AF2645" w:rsidRPr="00274180" w:rsidRDefault="00A274AC" w:rsidP="009542BC">
      <w:pPr>
        <w:spacing w:line="360" w:lineRule="auto"/>
        <w:jc w:val="both"/>
        <w:rPr>
          <w:lang w:val="en-US"/>
        </w:rPr>
      </w:pPr>
      <w:r>
        <w:rPr>
          <w:lang w:val="en-US"/>
        </w:rPr>
        <w:t xml:space="preserve">The competence to transfer </w:t>
      </w:r>
      <w:r w:rsidR="00AF2645" w:rsidRPr="00274180">
        <w:rPr>
          <w:lang w:val="en-US"/>
        </w:rPr>
        <w:t xml:space="preserve">the enforcement of custodial sanctions </w:t>
      </w:r>
      <w:r w:rsidR="00274180">
        <w:rPr>
          <w:lang w:val="en-US"/>
        </w:rPr>
        <w:t xml:space="preserve">in another Member State </w:t>
      </w:r>
      <w:r w:rsidR="008D2ECC">
        <w:rPr>
          <w:lang w:val="en-US"/>
        </w:rPr>
        <w:t xml:space="preserve">(FD 2008/909/JHA) </w:t>
      </w:r>
      <w:r>
        <w:rPr>
          <w:lang w:val="en-US"/>
        </w:rPr>
        <w:t>lies with the enforcement authority (section 85 AICCM), i.e. the prosecution service</w:t>
      </w:r>
      <w:r w:rsidR="00135F9E">
        <w:rPr>
          <w:lang w:val="en-US"/>
        </w:rPr>
        <w:t xml:space="preserve"> </w:t>
      </w:r>
      <w:r w:rsidR="001A2B8F">
        <w:rPr>
          <w:lang w:val="en-US"/>
        </w:rPr>
        <w:t>having</w:t>
      </w:r>
      <w:r w:rsidR="00135F9E">
        <w:rPr>
          <w:lang w:val="en-US"/>
        </w:rPr>
        <w:t xml:space="preserve"> local jurisdiction, which depends on </w:t>
      </w:r>
      <w:r>
        <w:rPr>
          <w:lang w:val="en-US"/>
        </w:rPr>
        <w:t xml:space="preserve">the court that has conducted the trial </w:t>
      </w:r>
      <w:r w:rsidR="00FF4C16">
        <w:rPr>
          <w:lang w:val="en-US"/>
        </w:rPr>
        <w:t xml:space="preserve">at first instance </w:t>
      </w:r>
      <w:r>
        <w:rPr>
          <w:lang w:val="en-US"/>
        </w:rPr>
        <w:t>(section 451 CPP</w:t>
      </w:r>
      <w:r w:rsidR="00FF4C16">
        <w:rPr>
          <w:lang w:val="en-US"/>
        </w:rPr>
        <w:t>, sections 4, 7 Regulation on the enforcement of criminal sentences</w:t>
      </w:r>
      <w:r w:rsidRPr="00392375">
        <w:rPr>
          <w:lang w:val="en-US"/>
        </w:rPr>
        <w:t>).</w:t>
      </w:r>
      <w:r w:rsidRPr="00392375">
        <w:rPr>
          <w:rStyle w:val="Funotenzeichen"/>
          <w:lang w:val="en-US"/>
        </w:rPr>
        <w:footnoteReference w:id="79"/>
      </w:r>
      <w:r w:rsidR="008F1C61" w:rsidRPr="00190033">
        <w:rPr>
          <w:lang w:val="en-GB"/>
        </w:rPr>
        <w:t xml:space="preserve"> The public prosecution service decides whether the FD 2002/584/JHA-route (execution-EAW) or the FD 2008/909-route is taken, as it is responsible for initiating either of these proceedings.</w:t>
      </w:r>
      <w:r w:rsidRPr="00392375">
        <w:rPr>
          <w:lang w:val="en-US"/>
        </w:rPr>
        <w:t xml:space="preserve"> </w:t>
      </w:r>
      <w:r w:rsidR="00FF4C16">
        <w:rPr>
          <w:lang w:val="en-US"/>
        </w:rPr>
        <w:t xml:space="preserve">If the sentenced person is in Germany and does not consent to the transfer of enforcement, </w:t>
      </w:r>
      <w:r w:rsidR="00AF2645" w:rsidRPr="00274180">
        <w:rPr>
          <w:lang w:val="en-US"/>
        </w:rPr>
        <w:t>prior authori</w:t>
      </w:r>
      <w:r w:rsidR="005A3481">
        <w:rPr>
          <w:lang w:val="en-US"/>
        </w:rPr>
        <w:t>s</w:t>
      </w:r>
      <w:r w:rsidR="00AF2645" w:rsidRPr="00274180">
        <w:rPr>
          <w:lang w:val="en-US"/>
        </w:rPr>
        <w:t xml:space="preserve">ation by the Higher Regional Court </w:t>
      </w:r>
      <w:r w:rsidR="00FF4C16">
        <w:rPr>
          <w:lang w:val="en-US"/>
        </w:rPr>
        <w:t xml:space="preserve">is required </w:t>
      </w:r>
      <w:r w:rsidR="00AF2645" w:rsidRPr="00274180">
        <w:rPr>
          <w:lang w:val="en-US"/>
        </w:rPr>
        <w:t>because the transfer of the convicted person will considerably change the conditions under which the sentence is served (</w:t>
      </w:r>
      <w:r>
        <w:rPr>
          <w:lang w:val="en-US"/>
        </w:rPr>
        <w:t>sections 85a</w:t>
      </w:r>
      <w:r w:rsidR="00FF4C16">
        <w:rPr>
          <w:lang w:val="en-US"/>
        </w:rPr>
        <w:t>(1)</w:t>
      </w:r>
      <w:r>
        <w:rPr>
          <w:lang w:val="en-US"/>
        </w:rPr>
        <w:t xml:space="preserve">, </w:t>
      </w:r>
      <w:r w:rsidR="00AF2645" w:rsidRPr="00274180">
        <w:rPr>
          <w:lang w:val="en-US"/>
        </w:rPr>
        <w:t>71</w:t>
      </w:r>
      <w:r>
        <w:rPr>
          <w:lang w:val="en-US"/>
        </w:rPr>
        <w:t>(</w:t>
      </w:r>
      <w:r w:rsidR="00FF4C16">
        <w:rPr>
          <w:lang w:val="en-US"/>
        </w:rPr>
        <w:t>4</w:t>
      </w:r>
      <w:r>
        <w:rPr>
          <w:lang w:val="en-US"/>
        </w:rPr>
        <w:t>) AICCM</w:t>
      </w:r>
      <w:r w:rsidR="00AF2645" w:rsidRPr="00274180">
        <w:rPr>
          <w:lang w:val="en-US"/>
        </w:rPr>
        <w:t>).</w:t>
      </w:r>
      <w:r w:rsidR="00FF4C16">
        <w:rPr>
          <w:lang w:val="en-US"/>
        </w:rPr>
        <w:t xml:space="preserve"> </w:t>
      </w:r>
      <w:r w:rsidR="00CE22B3">
        <w:rPr>
          <w:lang w:val="en-US"/>
        </w:rPr>
        <w:t>I</w:t>
      </w:r>
      <w:r w:rsidR="007B40B3">
        <w:rPr>
          <w:lang w:val="en-US"/>
        </w:rPr>
        <w:t xml:space="preserve">f the </w:t>
      </w:r>
      <w:r w:rsidR="00190033">
        <w:rPr>
          <w:lang w:val="en-US"/>
        </w:rPr>
        <w:t xml:space="preserve">convicted </w:t>
      </w:r>
      <w:r w:rsidR="007B40B3">
        <w:rPr>
          <w:lang w:val="en-US"/>
        </w:rPr>
        <w:t xml:space="preserve">person </w:t>
      </w:r>
      <w:r w:rsidR="005578CC">
        <w:rPr>
          <w:lang w:val="en-US"/>
        </w:rPr>
        <w:t>is not in Germany</w:t>
      </w:r>
      <w:r w:rsidR="007B40B3">
        <w:rPr>
          <w:lang w:val="en-US"/>
        </w:rPr>
        <w:t xml:space="preserve">, </w:t>
      </w:r>
      <w:r w:rsidR="007B40B3">
        <w:rPr>
          <w:lang w:val="en-US"/>
        </w:rPr>
        <w:lastRenderedPageBreak/>
        <w:t xml:space="preserve">the decision of the </w:t>
      </w:r>
      <w:r w:rsidR="001F5F69">
        <w:rPr>
          <w:lang w:val="en-US"/>
        </w:rPr>
        <w:t>p</w:t>
      </w:r>
      <w:r w:rsidR="007B40B3">
        <w:rPr>
          <w:lang w:val="en-US"/>
        </w:rPr>
        <w:t xml:space="preserve">ublic </w:t>
      </w:r>
      <w:r w:rsidR="001F5F69">
        <w:rPr>
          <w:lang w:val="en-US"/>
        </w:rPr>
        <w:t>p</w:t>
      </w:r>
      <w:r w:rsidR="007B40B3">
        <w:rPr>
          <w:lang w:val="en-US"/>
        </w:rPr>
        <w:t xml:space="preserve">rosecution </w:t>
      </w:r>
      <w:r w:rsidR="004B0DBE">
        <w:rPr>
          <w:lang w:val="en-US"/>
        </w:rPr>
        <w:t>s</w:t>
      </w:r>
      <w:r w:rsidR="007B40B3">
        <w:rPr>
          <w:lang w:val="en-US"/>
        </w:rPr>
        <w:t xml:space="preserve">ervice is not subject to judicial review (section 85d sent. 3 AICCM). </w:t>
      </w:r>
      <w:r w:rsidR="00190033">
        <w:rPr>
          <w:lang w:val="en-US"/>
        </w:rPr>
        <w:t>Unless the convicted person consents to the transfer of enforcement, the</w:t>
      </w:r>
      <w:r w:rsidR="007B40B3">
        <w:rPr>
          <w:lang w:val="en-US"/>
        </w:rPr>
        <w:t xml:space="preserve"> lack of a legal remedy is in breach with the constitutional right to judicial review (Art. 19 para. 4 GG).</w:t>
      </w:r>
      <w:r w:rsidR="007B40B3">
        <w:rPr>
          <w:rStyle w:val="Funotenzeichen"/>
          <w:lang w:val="en-US"/>
        </w:rPr>
        <w:footnoteReference w:id="80"/>
      </w:r>
    </w:p>
    <w:p w14:paraId="10A4567D" w14:textId="43B4FF8C" w:rsidR="00BA0989" w:rsidRPr="00BA0989" w:rsidRDefault="000A185E" w:rsidP="00777A20">
      <w:pPr>
        <w:pStyle w:val="Listenabsatz"/>
        <w:spacing w:line="360" w:lineRule="auto"/>
        <w:ind w:left="0"/>
        <w:jc w:val="both"/>
        <w:rPr>
          <w:lang w:val="en-US"/>
        </w:rPr>
      </w:pPr>
      <w:r>
        <w:rPr>
          <w:lang w:val="en-US"/>
        </w:rPr>
        <w:t xml:space="preserve">The competence to transfer the supervision of probation </w:t>
      </w:r>
      <w:r w:rsidR="008D2ECC">
        <w:rPr>
          <w:lang w:val="en-US"/>
        </w:rPr>
        <w:t xml:space="preserve">(FD 2008/947/JHA) </w:t>
      </w:r>
      <w:r w:rsidR="009542BC">
        <w:rPr>
          <w:lang w:val="en-US"/>
        </w:rPr>
        <w:t>to another Member State</w:t>
      </w:r>
      <w:r>
        <w:rPr>
          <w:lang w:val="en-US"/>
        </w:rPr>
        <w:t xml:space="preserve"> also lies with the competent enforcement authority (se</w:t>
      </w:r>
      <w:r w:rsidR="009542BC">
        <w:rPr>
          <w:lang w:val="en-US"/>
        </w:rPr>
        <w:t>ction 90l AICCM)</w:t>
      </w:r>
      <w:r w:rsidR="00733C25">
        <w:rPr>
          <w:lang w:val="en-US"/>
        </w:rPr>
        <w:t>,</w:t>
      </w:r>
      <w:r w:rsidR="00886E24">
        <w:rPr>
          <w:lang w:val="en-US"/>
        </w:rPr>
        <w:t xml:space="preserve"> which is</w:t>
      </w:r>
      <w:r w:rsidR="00733C25">
        <w:rPr>
          <w:lang w:val="en-US"/>
        </w:rPr>
        <w:t xml:space="preserve"> the public prosecutor’s office</w:t>
      </w:r>
      <w:r w:rsidR="00C4425D">
        <w:rPr>
          <w:lang w:val="en-US"/>
        </w:rPr>
        <w:t xml:space="preserve"> </w:t>
      </w:r>
      <w:r w:rsidR="001A2B8F">
        <w:rPr>
          <w:lang w:val="en-US"/>
        </w:rPr>
        <w:t>having local jurisdiction</w:t>
      </w:r>
      <w:r w:rsidR="009542BC">
        <w:rPr>
          <w:lang w:val="en-US"/>
        </w:rPr>
        <w:t>. Prior authori</w:t>
      </w:r>
      <w:r w:rsidR="005A3481">
        <w:rPr>
          <w:lang w:val="en-US"/>
        </w:rPr>
        <w:t>s</w:t>
      </w:r>
      <w:r>
        <w:rPr>
          <w:lang w:val="en-US"/>
        </w:rPr>
        <w:t>ation by the Higher Regional Court is not required because the transfer requires consent of the sentenced person (section 90l(2) AICCM; see also section 90m AICCM)</w:t>
      </w:r>
      <w:r w:rsidR="00554A18">
        <w:rPr>
          <w:lang w:val="en-US"/>
        </w:rPr>
        <w:t>,</w:t>
      </w:r>
      <w:r>
        <w:rPr>
          <w:rStyle w:val="Funotenzeichen"/>
          <w:lang w:val="en-US"/>
        </w:rPr>
        <w:footnoteReference w:id="81"/>
      </w:r>
      <w:r w:rsidR="00554A18">
        <w:rPr>
          <w:lang w:val="en-US"/>
        </w:rPr>
        <w:t xml:space="preserve"> </w:t>
      </w:r>
      <w:r w:rsidR="00BA0989">
        <w:rPr>
          <w:lang w:val="en-GB"/>
        </w:rPr>
        <w:t>which</w:t>
      </w:r>
      <w:r w:rsidR="00BA0989" w:rsidRPr="000A0D20">
        <w:rPr>
          <w:lang w:val="en-GB"/>
        </w:rPr>
        <w:t xml:space="preserve"> constitutes an implicit waiver of judicial protection</w:t>
      </w:r>
      <w:r w:rsidR="00BA0989">
        <w:rPr>
          <w:lang w:val="en-GB"/>
        </w:rPr>
        <w:t xml:space="preserve"> (section 90p(1)2 AICCM)</w:t>
      </w:r>
      <w:r w:rsidR="0081696C">
        <w:rPr>
          <w:lang w:val="en-GB"/>
        </w:rPr>
        <w:t xml:space="preserve">. </w:t>
      </w:r>
    </w:p>
    <w:p w14:paraId="3B42FFB6" w14:textId="0C5F9C74" w:rsidR="009C2518" w:rsidRPr="008D2ECC" w:rsidRDefault="008D2ECC" w:rsidP="00777A20">
      <w:pPr>
        <w:pStyle w:val="Listenabsatz"/>
        <w:spacing w:line="360" w:lineRule="auto"/>
        <w:ind w:left="0"/>
        <w:jc w:val="both"/>
        <w:rPr>
          <w:lang w:val="en-US"/>
        </w:rPr>
      </w:pPr>
      <w:r w:rsidRPr="008D2ECC">
        <w:rPr>
          <w:lang w:val="en-US"/>
        </w:rPr>
        <w:t xml:space="preserve">The competence to transfer the monitoring of supervision measures </w:t>
      </w:r>
      <w:r>
        <w:rPr>
          <w:lang w:val="en-US"/>
        </w:rPr>
        <w:t>to avoid remand detention lies with the court with jurisdiction to issue the arrest warrant and to take further measures on remand detention (section 90y(1)1 AICCM and section 126 CPP).</w:t>
      </w:r>
    </w:p>
    <w:p w14:paraId="2E951222" w14:textId="37C1F3FF" w:rsidR="004454A4" w:rsidRDefault="008D2ECC" w:rsidP="007715B2">
      <w:pPr>
        <w:pStyle w:val="Listenabsatz"/>
        <w:spacing w:line="360" w:lineRule="auto"/>
        <w:ind w:left="0"/>
        <w:jc w:val="both"/>
        <w:rPr>
          <w:lang w:val="en-US"/>
        </w:rPr>
      </w:pPr>
      <w:r>
        <w:rPr>
          <w:lang w:val="en-US"/>
        </w:rPr>
        <w:t>According to the general rules, the states have delegated the competence to issue a</w:t>
      </w:r>
      <w:r w:rsidR="00460C9F">
        <w:rPr>
          <w:lang w:val="en-US"/>
        </w:rPr>
        <w:t>n</w:t>
      </w:r>
      <w:r>
        <w:rPr>
          <w:lang w:val="en-US"/>
        </w:rPr>
        <w:t xml:space="preserve"> EIO to the public prosecution service having local jurisdiction.</w:t>
      </w:r>
      <w:r>
        <w:rPr>
          <w:rStyle w:val="Funotenzeichen"/>
          <w:lang w:val="en-GB"/>
        </w:rPr>
        <w:footnoteReference w:id="82"/>
      </w:r>
      <w:r w:rsidR="009E6363">
        <w:rPr>
          <w:lang w:val="en-US"/>
        </w:rPr>
        <w:t xml:space="preserve"> So, the investigating authority may, in principle, </w:t>
      </w:r>
      <w:r w:rsidR="008734B6">
        <w:rPr>
          <w:lang w:val="en-GB"/>
        </w:rPr>
        <w:t>make t</w:t>
      </w:r>
      <w:r w:rsidR="008734B6" w:rsidRPr="007B40B3">
        <w:rPr>
          <w:lang w:val="en-GB"/>
        </w:rPr>
        <w:t>he choice to either motion to issue an EAW o</w:t>
      </w:r>
      <w:r w:rsidR="008734B6">
        <w:rPr>
          <w:lang w:val="en-GB"/>
        </w:rPr>
        <w:t xml:space="preserve">r </w:t>
      </w:r>
      <w:r w:rsidR="009E6363">
        <w:rPr>
          <w:lang w:val="en-US"/>
        </w:rPr>
        <w:t>a</w:t>
      </w:r>
      <w:r w:rsidR="00460C9F">
        <w:rPr>
          <w:lang w:val="en-US"/>
        </w:rPr>
        <w:t>n</w:t>
      </w:r>
      <w:r w:rsidR="009E6363">
        <w:rPr>
          <w:lang w:val="en-US"/>
        </w:rPr>
        <w:t xml:space="preserve"> EIO.</w:t>
      </w:r>
      <w:r w:rsidR="007715B2">
        <w:rPr>
          <w:lang w:val="en-US"/>
        </w:rPr>
        <w:t xml:space="preserve"> In any case th</w:t>
      </w:r>
      <w:r w:rsidR="000A00EE">
        <w:rPr>
          <w:lang w:val="en-US"/>
        </w:rPr>
        <w:t>e</w:t>
      </w:r>
      <w:r w:rsidR="007715B2">
        <w:rPr>
          <w:lang w:val="en-US"/>
        </w:rPr>
        <w:t xml:space="preserve"> choice</w:t>
      </w:r>
      <w:r w:rsidR="008E2078">
        <w:rPr>
          <w:lang w:val="en-US"/>
        </w:rPr>
        <w:t xml:space="preserve"> made</w:t>
      </w:r>
      <w:r w:rsidR="007715B2">
        <w:rPr>
          <w:lang w:val="en-US"/>
        </w:rPr>
        <w:t xml:space="preserve"> by the public prosecutor is subject to judicial review </w:t>
      </w:r>
      <w:r w:rsidR="003337E4">
        <w:rPr>
          <w:lang w:val="en-US"/>
        </w:rPr>
        <w:t xml:space="preserve">of the court </w:t>
      </w:r>
      <w:r w:rsidR="007715B2">
        <w:rPr>
          <w:lang w:val="en-US"/>
        </w:rPr>
        <w:t xml:space="preserve">deciding upon the issuing of an EAW (proportionality check). </w:t>
      </w:r>
    </w:p>
    <w:p w14:paraId="48A01BAF" w14:textId="11BC651F" w:rsidR="009C2518" w:rsidRPr="008D2ECC" w:rsidRDefault="009E6363" w:rsidP="00777A20">
      <w:pPr>
        <w:pStyle w:val="Listenabsatz"/>
        <w:spacing w:line="360" w:lineRule="auto"/>
        <w:ind w:left="0"/>
        <w:jc w:val="both"/>
        <w:rPr>
          <w:lang w:val="en-US"/>
        </w:rPr>
      </w:pPr>
      <w:r>
        <w:rPr>
          <w:lang w:val="en-US"/>
        </w:rPr>
        <w:t>However, if the investigating respe</w:t>
      </w:r>
      <w:r w:rsidR="003C7C7E">
        <w:rPr>
          <w:lang w:val="en-US"/>
        </w:rPr>
        <w:t>ctively issuing authority is not a judicial authority (judge, court, public prosecutor),</w:t>
      </w:r>
      <w:r w:rsidR="008B5A8B">
        <w:rPr>
          <w:lang w:val="en-US"/>
        </w:rPr>
        <w:t xml:space="preserve"> but an administrative</w:t>
      </w:r>
      <w:r w:rsidR="00176B8E">
        <w:rPr>
          <w:lang w:val="en-US"/>
        </w:rPr>
        <w:t xml:space="preserve"> </w:t>
      </w:r>
      <w:r w:rsidR="008B5A8B">
        <w:rPr>
          <w:lang w:val="en-US"/>
        </w:rPr>
        <w:t>authority</w:t>
      </w:r>
      <w:r w:rsidR="00176B8E">
        <w:rPr>
          <w:lang w:val="en-US"/>
        </w:rPr>
        <w:t xml:space="preserve"> (</w:t>
      </w:r>
      <w:r w:rsidR="00AC118F">
        <w:rPr>
          <w:lang w:val="en-US"/>
        </w:rPr>
        <w:t xml:space="preserve">e.g. </w:t>
      </w:r>
      <w:r w:rsidR="00A5588B">
        <w:rPr>
          <w:lang w:val="en-US"/>
        </w:rPr>
        <w:t>a financial authority or a</w:t>
      </w:r>
      <w:r w:rsidR="00176B8E">
        <w:rPr>
          <w:lang w:val="en-US"/>
        </w:rPr>
        <w:t xml:space="preserve"> police</w:t>
      </w:r>
      <w:r w:rsidR="00A5588B">
        <w:rPr>
          <w:lang w:val="en-US"/>
        </w:rPr>
        <w:t xml:space="preserve"> authority</w:t>
      </w:r>
      <w:r w:rsidR="004D58B7">
        <w:rPr>
          <w:lang w:val="en-US"/>
        </w:rPr>
        <w:t>)</w:t>
      </w:r>
      <w:r w:rsidR="003C7C7E">
        <w:rPr>
          <w:lang w:val="en-US"/>
        </w:rPr>
        <w:t xml:space="preserve"> a validation by the competent public prosecution service is required (section 91j(2)2 AICCM). If the investigative measure requires prior authori</w:t>
      </w:r>
      <w:r w:rsidR="005A3481">
        <w:rPr>
          <w:lang w:val="en-US"/>
        </w:rPr>
        <w:t>s</w:t>
      </w:r>
      <w:r w:rsidR="003C7C7E">
        <w:rPr>
          <w:lang w:val="en-US"/>
        </w:rPr>
        <w:t xml:space="preserve">ation by a court, state law may provide that the </w:t>
      </w:r>
      <w:r w:rsidR="009542BC">
        <w:rPr>
          <w:lang w:val="en-US"/>
        </w:rPr>
        <w:t xml:space="preserve">same </w:t>
      </w:r>
      <w:r w:rsidR="003C7C7E">
        <w:rPr>
          <w:lang w:val="en-US"/>
        </w:rPr>
        <w:t>court may also validate the EIO (section 91j(4) AICCM).</w:t>
      </w:r>
    </w:p>
    <w:p w14:paraId="4A3B63CB" w14:textId="45AFBA76" w:rsidR="00492F19" w:rsidRDefault="00FC7DC4" w:rsidP="00FB6246">
      <w:pPr>
        <w:pStyle w:val="Listenabsatz"/>
        <w:spacing w:line="360" w:lineRule="auto"/>
        <w:ind w:left="0"/>
        <w:jc w:val="both"/>
      </w:pPr>
      <w:r>
        <w:rPr>
          <w:lang w:val="en-US"/>
        </w:rPr>
        <w:t>According to the general rules, the states have delegated the competence to issue a</w:t>
      </w:r>
      <w:r w:rsidR="00460C9F">
        <w:rPr>
          <w:lang w:val="en-US"/>
        </w:rPr>
        <w:t>n</w:t>
      </w:r>
      <w:r>
        <w:rPr>
          <w:lang w:val="en-US"/>
        </w:rPr>
        <w:t xml:space="preserve"> EIO to the public prosecution service having local jurisdiction as far as EU law or international treaties allow for requests to be made directly between the competent judicial authorities.</w:t>
      </w:r>
      <w:r>
        <w:rPr>
          <w:rStyle w:val="Funotenzeichen"/>
          <w:lang w:val="en-GB"/>
        </w:rPr>
        <w:footnoteReference w:id="83"/>
      </w:r>
      <w:r>
        <w:rPr>
          <w:lang w:val="en-GB"/>
        </w:rPr>
        <w:t xml:space="preserve"> This </w:t>
      </w:r>
      <w:r>
        <w:rPr>
          <w:lang w:val="en-GB"/>
        </w:rPr>
        <w:lastRenderedPageBreak/>
        <w:t>condition is met by the EU Convention on Mutual Assistance in Criminal Matters (Art. 6</w:t>
      </w:r>
      <w:r w:rsidR="00303481">
        <w:rPr>
          <w:lang w:val="en-GB"/>
        </w:rPr>
        <w:t>(1)2) that also applies to the laying of information in connection with criminal proceedings under Art. 21 European Convention on Mutual Assistance in Criminal Matters (Art. 6(1)3 of the EU Convention) that serves as a legal basis for the transfer of criminal proceedings</w:t>
      </w:r>
      <w:r w:rsidR="00D93A43">
        <w:rPr>
          <w:lang w:val="en-GB"/>
        </w:rPr>
        <w:t xml:space="preserve"> in the German criminal justice system</w:t>
      </w:r>
      <w:r w:rsidR="00303481">
        <w:rPr>
          <w:lang w:val="en-GB"/>
        </w:rPr>
        <w:t>.</w:t>
      </w:r>
      <w:r w:rsidR="000A0D20" w:rsidRPr="000A0D20">
        <w:t xml:space="preserve"> </w:t>
      </w:r>
    </w:p>
    <w:p w14:paraId="1BA70564" w14:textId="175FF272" w:rsidR="0081696C" w:rsidRDefault="00A5588B" w:rsidP="00FB6246">
      <w:pPr>
        <w:pStyle w:val="Listenabsatz"/>
        <w:spacing w:line="360" w:lineRule="auto"/>
        <w:ind w:left="0"/>
        <w:jc w:val="both"/>
      </w:pPr>
      <w:r>
        <w:t>As</w:t>
      </w:r>
      <w:r w:rsidR="00C551CF">
        <w:t xml:space="preserve"> the</w:t>
      </w:r>
      <w:r w:rsidR="001D6913">
        <w:t xml:space="preserve"> public prosecutor’s office is a judicial authority, t</w:t>
      </w:r>
      <w:r w:rsidR="00380CE8">
        <w:t>he</w:t>
      </w:r>
      <w:r w:rsidR="00462170">
        <w:t xml:space="preserve"> requirement of equivalence</w:t>
      </w:r>
      <w:r w:rsidR="00235AA6">
        <w:t xml:space="preserve"> is met</w:t>
      </w:r>
      <w:r>
        <w:t xml:space="preserve">. In contrast to EAW proceedings, judicial protection by court authorisation is not required if the </w:t>
      </w:r>
      <w:r w:rsidR="00462170">
        <w:t xml:space="preserve">sentenced person </w:t>
      </w:r>
      <w:r>
        <w:t xml:space="preserve">has given his consent which is considered as </w:t>
      </w:r>
      <w:r w:rsidR="00462170">
        <w:t>an implicit waiver of judicial protection.</w:t>
      </w:r>
      <w:r w:rsidR="00A46CB2">
        <w:rPr>
          <w:rStyle w:val="Funotenzeichen"/>
        </w:rPr>
        <w:footnoteReference w:id="84"/>
      </w:r>
      <w:r w:rsidR="00380CE8">
        <w:t xml:space="preserve"> </w:t>
      </w:r>
      <w:r>
        <w:t>If  consent is not given, the transfer of the sentenced person requires authorisation by court (</w:t>
      </w:r>
      <w:r w:rsidR="0094574E">
        <w:t>sections 85a, 85c AICCM)</w:t>
      </w:r>
      <w:r w:rsidR="00260AFB">
        <w:t>.</w:t>
      </w:r>
      <w:r w:rsidR="00260AFB">
        <w:rPr>
          <w:rStyle w:val="Funotenzeichen"/>
        </w:rPr>
        <w:footnoteReference w:id="85"/>
      </w:r>
      <w:r w:rsidR="00260AFB">
        <w:t xml:space="preserve"> </w:t>
      </w:r>
      <w:r w:rsidR="0094574E">
        <w:t>However, if the convicted person is already in the other Member States, there is no judicial protection ex ante (court authorisation) nor a legal remedy against the decision to transfer enforcement (e.g. with regard to detention conditions in the executing Member State)</w:t>
      </w:r>
      <w:r w:rsidR="00C9477A">
        <w:t>.</w:t>
      </w:r>
      <w:r w:rsidR="00C009C0">
        <w:rPr>
          <w:rStyle w:val="Funotenzeichen"/>
        </w:rPr>
        <w:footnoteReference w:id="86"/>
      </w:r>
      <w:r w:rsidR="00462170">
        <w:t xml:space="preserve"> </w:t>
      </w:r>
      <w:r w:rsidR="00AC1A88">
        <w:t>As far as the EIO is concerned, the draft bill on the reform of the AICCM expressly provides for a legal remedy against outgoing EIOs.</w:t>
      </w:r>
      <w:r w:rsidR="00AC1A88">
        <w:rPr>
          <w:rStyle w:val="Funotenzeichen"/>
        </w:rPr>
        <w:footnoteReference w:id="87"/>
      </w:r>
    </w:p>
    <w:p w14:paraId="3AA63CA8" w14:textId="77777777" w:rsidR="0081696C" w:rsidRPr="00462170" w:rsidRDefault="0081696C" w:rsidP="00FB6246">
      <w:pPr>
        <w:pStyle w:val="Listenabsatz"/>
        <w:spacing w:line="360" w:lineRule="auto"/>
        <w:ind w:left="0"/>
        <w:jc w:val="both"/>
        <w:rPr>
          <w:lang w:val="en-GB"/>
        </w:rPr>
      </w:pPr>
    </w:p>
    <w:p w14:paraId="38279570" w14:textId="77777777" w:rsidR="00BC2662" w:rsidRDefault="00BC2662" w:rsidP="00777A20">
      <w:pPr>
        <w:pStyle w:val="berschrift3"/>
        <w:numPr>
          <w:ilvl w:val="2"/>
          <w:numId w:val="5"/>
        </w:numPr>
        <w:ind w:left="1560" w:hanging="709"/>
        <w:rPr>
          <w:lang w:val="en-GB"/>
        </w:rPr>
      </w:pPr>
      <w:bookmarkStart w:id="29" w:name="_Toc147328916"/>
      <w:bookmarkStart w:id="30" w:name="_Toc147328950"/>
      <w:bookmarkStart w:id="31" w:name="_Toc147329062"/>
      <w:bookmarkStart w:id="32" w:name="_Toc170228492"/>
      <w:r>
        <w:rPr>
          <w:lang w:val="en-GB"/>
        </w:rPr>
        <w:t>Central authorities</w:t>
      </w:r>
      <w:bookmarkEnd w:id="29"/>
      <w:bookmarkEnd w:id="30"/>
      <w:bookmarkEnd w:id="31"/>
      <w:bookmarkEnd w:id="32"/>
    </w:p>
    <w:p w14:paraId="29923C69" w14:textId="77777777" w:rsidR="00F66380" w:rsidRDefault="00BC2662" w:rsidP="00F66380">
      <w:pPr>
        <w:spacing w:line="360" w:lineRule="auto"/>
        <w:jc w:val="both"/>
        <w:rPr>
          <w:color w:val="FF0000"/>
          <w:lang w:val="en-GB"/>
        </w:rPr>
      </w:pPr>
      <w:r w:rsidRPr="00353C2A">
        <w:rPr>
          <w:color w:val="FF0000"/>
          <w:lang w:val="en-GB"/>
        </w:rPr>
        <w:t xml:space="preserve">Did your MS designate </w:t>
      </w:r>
      <w:r w:rsidR="00B97282">
        <w:rPr>
          <w:color w:val="FF0000"/>
          <w:lang w:val="en-GB"/>
        </w:rPr>
        <w:t>“</w:t>
      </w:r>
      <w:r w:rsidRPr="00353C2A">
        <w:rPr>
          <w:color w:val="FF0000"/>
          <w:lang w:val="en-GB"/>
        </w:rPr>
        <w:t>central authorities</w:t>
      </w:r>
      <w:r w:rsidR="00B97282" w:rsidRPr="00F44757">
        <w:rPr>
          <w:color w:val="FF0000"/>
          <w:lang w:val="en-GB"/>
        </w:rPr>
        <w:t>” (within the meaning of the instruments)</w:t>
      </w:r>
      <w:r w:rsidRPr="00F44757">
        <w:rPr>
          <w:color w:val="FF0000"/>
          <w:lang w:val="en-GB"/>
        </w:rPr>
        <w:t xml:space="preserve">? </w:t>
      </w:r>
      <w:r w:rsidRPr="00353C2A">
        <w:rPr>
          <w:color w:val="FF0000"/>
          <w:lang w:val="en-GB"/>
        </w:rPr>
        <w:t>If so, which authorities and what are their respective competences? What is the role of the central authority in choosing the form of cooperation?</w:t>
      </w:r>
      <w:r w:rsidR="00106115">
        <w:rPr>
          <w:rStyle w:val="Funotenzeichen"/>
          <w:color w:val="FF0000"/>
          <w:lang w:val="en-GB"/>
        </w:rPr>
        <w:footnoteReference w:id="88"/>
      </w:r>
      <w:r w:rsidR="00106115">
        <w:rPr>
          <w:color w:val="FF0000"/>
          <w:lang w:val="en-GB"/>
        </w:rPr>
        <w:t xml:space="preserve">  </w:t>
      </w:r>
    </w:p>
    <w:p w14:paraId="7A7763B5" w14:textId="1D29FDD6" w:rsidR="00F66380" w:rsidRPr="008725B1" w:rsidRDefault="00937AC8" w:rsidP="00F66380">
      <w:pPr>
        <w:spacing w:line="360" w:lineRule="auto"/>
        <w:jc w:val="both"/>
        <w:rPr>
          <w:lang w:val="en-GB"/>
        </w:rPr>
      </w:pPr>
      <w:r>
        <w:rPr>
          <w:lang w:val="en-GB"/>
        </w:rPr>
        <w:t>In the notification on the transposition of the FD EAW, the German government declared the Federal Ministry of Justice and the corresponding ministries of the states a</w:t>
      </w:r>
      <w:r w:rsidR="008B17E9">
        <w:rPr>
          <w:lang w:val="en-GB"/>
        </w:rPr>
        <w:t xml:space="preserve">s competent judicial authorities and that these ministries </w:t>
      </w:r>
      <w:r w:rsidR="00903CD7">
        <w:rPr>
          <w:lang w:val="en-GB"/>
        </w:rPr>
        <w:t xml:space="preserve">further </w:t>
      </w:r>
      <w:r w:rsidR="008B17E9">
        <w:rPr>
          <w:lang w:val="en-GB"/>
        </w:rPr>
        <w:t>delegated the exercise of their competences to the public prosecution service at the district courts.</w:t>
      </w:r>
      <w:r w:rsidR="008B17E9">
        <w:rPr>
          <w:rStyle w:val="Funotenzeichen"/>
          <w:lang w:val="en-GB"/>
        </w:rPr>
        <w:footnoteReference w:id="89"/>
      </w:r>
      <w:r w:rsidR="008B17E9">
        <w:rPr>
          <w:lang w:val="en-GB"/>
        </w:rPr>
        <w:t xml:space="preserve"> So,</w:t>
      </w:r>
      <w:r w:rsidR="00903CD7">
        <w:rPr>
          <w:lang w:val="en-GB"/>
        </w:rPr>
        <w:t xml:space="preserve"> as a general rule,</w:t>
      </w:r>
      <w:r w:rsidR="008B17E9">
        <w:rPr>
          <w:lang w:val="en-GB"/>
        </w:rPr>
        <w:t xml:space="preserve"> the competence to issue a</w:t>
      </w:r>
      <w:r w:rsidR="00485F18">
        <w:rPr>
          <w:lang w:val="en-GB"/>
        </w:rPr>
        <w:t>n</w:t>
      </w:r>
      <w:r w:rsidR="008B17E9">
        <w:rPr>
          <w:lang w:val="en-GB"/>
        </w:rPr>
        <w:t xml:space="preserve"> EAW l</w:t>
      </w:r>
      <w:r w:rsidR="004D7835">
        <w:rPr>
          <w:lang w:val="en-GB"/>
        </w:rPr>
        <w:t>ai</w:t>
      </w:r>
      <w:bookmarkStart w:id="33" w:name="_GoBack"/>
      <w:bookmarkEnd w:id="33"/>
      <w:r w:rsidR="00903CD7">
        <w:rPr>
          <w:lang w:val="en-GB"/>
        </w:rPr>
        <w:t>d</w:t>
      </w:r>
      <w:r w:rsidR="008B17E9">
        <w:rPr>
          <w:lang w:val="en-GB"/>
        </w:rPr>
        <w:t xml:space="preserve"> with the public prosecution service and the competent court (</w:t>
      </w:r>
      <w:r w:rsidR="008B17E9">
        <w:rPr>
          <w:i/>
          <w:lang w:val="en-GB"/>
        </w:rPr>
        <w:t xml:space="preserve">supra </w:t>
      </w:r>
      <w:r w:rsidR="008B17E9">
        <w:rPr>
          <w:lang w:val="en-GB"/>
        </w:rPr>
        <w:t xml:space="preserve">1.3.1). </w:t>
      </w:r>
    </w:p>
    <w:p w14:paraId="55288DAC" w14:textId="2B640579" w:rsidR="00BC2662" w:rsidRDefault="008B17E9" w:rsidP="00F66380">
      <w:pPr>
        <w:spacing w:line="360" w:lineRule="auto"/>
        <w:jc w:val="both"/>
        <w:rPr>
          <w:lang w:val="en-GB"/>
        </w:rPr>
      </w:pPr>
      <w:r>
        <w:rPr>
          <w:lang w:val="en-GB"/>
        </w:rPr>
        <w:lastRenderedPageBreak/>
        <w:t>Accordingly, the German government ha</w:t>
      </w:r>
      <w:r w:rsidR="00C93B49">
        <w:rPr>
          <w:lang w:val="en-GB"/>
        </w:rPr>
        <w:t xml:space="preserve">d </w:t>
      </w:r>
      <w:r>
        <w:rPr>
          <w:lang w:val="en-GB"/>
        </w:rPr>
        <w:t>not notified a central authority (Art. 33(1) lit. c and Art. 7(3) EIO Directive).</w:t>
      </w:r>
      <w:r>
        <w:rPr>
          <w:rStyle w:val="Funotenzeichen"/>
          <w:lang w:val="en-GB"/>
        </w:rPr>
        <w:footnoteReference w:id="90"/>
      </w:r>
      <w:r w:rsidR="00661F12">
        <w:rPr>
          <w:lang w:val="en-GB"/>
        </w:rPr>
        <w:t xml:space="preserve"> </w:t>
      </w:r>
    </w:p>
    <w:p w14:paraId="2B98A93C" w14:textId="3732C6E1" w:rsidR="00D2136F" w:rsidRPr="003D3705" w:rsidRDefault="00F13F4E" w:rsidP="003D3705">
      <w:pPr>
        <w:pStyle w:val="HTMLVorformatiert"/>
        <w:spacing w:line="360" w:lineRule="auto"/>
        <w:jc w:val="both"/>
        <w:rPr>
          <w:rFonts w:ascii="Times New Roman" w:hAnsi="Times New Roman"/>
          <w:color w:val="000000" w:themeColor="text1"/>
          <w:sz w:val="24"/>
          <w:szCs w:val="24"/>
          <w:lang w:val="en" w:eastAsia="de-DE"/>
        </w:rPr>
      </w:pPr>
      <w:r w:rsidRPr="003D3705">
        <w:rPr>
          <w:rFonts w:ascii="Times New Roman" w:hAnsi="Times New Roman"/>
          <w:color w:val="000000" w:themeColor="text1"/>
          <w:sz w:val="24"/>
          <w:szCs w:val="24"/>
          <w:lang w:val="en" w:eastAsia="de-DE"/>
        </w:rPr>
        <w:t>Germany has only recently made use of the possibility of appointing central judicial authorit</w:t>
      </w:r>
      <w:r w:rsidR="00F90471" w:rsidRPr="003D3705">
        <w:rPr>
          <w:rFonts w:ascii="Times New Roman" w:hAnsi="Times New Roman"/>
          <w:color w:val="000000" w:themeColor="text1"/>
          <w:sz w:val="24"/>
          <w:szCs w:val="24"/>
          <w:lang w:val="en" w:eastAsia="de-DE"/>
        </w:rPr>
        <w:t>ies</w:t>
      </w:r>
      <w:r w:rsidRPr="003D3705">
        <w:rPr>
          <w:rFonts w:ascii="Times New Roman" w:hAnsi="Times New Roman"/>
          <w:color w:val="000000" w:themeColor="text1"/>
          <w:sz w:val="24"/>
          <w:szCs w:val="24"/>
          <w:lang w:val="en" w:eastAsia="de-DE"/>
        </w:rPr>
        <w:t xml:space="preserve"> </w:t>
      </w:r>
      <w:r w:rsidRPr="003D3705">
        <w:rPr>
          <w:rFonts w:ascii="Times New Roman" w:hAnsi="Times New Roman"/>
          <w:color w:val="000000" w:themeColor="text1"/>
          <w:sz w:val="24"/>
          <w:szCs w:val="24"/>
          <w:lang w:val="en-GB"/>
        </w:rPr>
        <w:t>under Article 7 FD 2002/584/JHA.</w:t>
      </w:r>
      <w:r w:rsidRPr="003D3705">
        <w:rPr>
          <w:rStyle w:val="Funotenzeichen"/>
          <w:rFonts w:ascii="Times New Roman" w:hAnsi="Times New Roman"/>
          <w:color w:val="000000" w:themeColor="text1"/>
          <w:sz w:val="24"/>
          <w:szCs w:val="24"/>
          <w:lang w:val="en-GB"/>
        </w:rPr>
        <w:footnoteReference w:id="91"/>
      </w:r>
      <w:r w:rsidRPr="003D3705">
        <w:rPr>
          <w:rFonts w:ascii="Times New Roman" w:hAnsi="Times New Roman"/>
          <w:color w:val="000000" w:themeColor="text1"/>
          <w:sz w:val="24"/>
          <w:szCs w:val="24"/>
          <w:lang w:val="en-GB"/>
        </w:rPr>
        <w:t xml:space="preserve"> </w:t>
      </w:r>
      <w:r w:rsidRPr="003D3705">
        <w:rPr>
          <w:rFonts w:ascii="Times New Roman" w:hAnsi="Times New Roman"/>
          <w:color w:val="000000" w:themeColor="text1"/>
          <w:sz w:val="24"/>
          <w:szCs w:val="24"/>
          <w:lang w:val="en" w:eastAsia="de-DE"/>
        </w:rPr>
        <w:t xml:space="preserve">As a consequence of the exclusive designation of courts as competent judicial authorities, </w:t>
      </w:r>
      <w:r w:rsidRPr="003D3705">
        <w:rPr>
          <w:rFonts w:ascii="Times New Roman" w:hAnsi="Times New Roman"/>
          <w:color w:val="000000" w:themeColor="text1"/>
          <w:sz w:val="24"/>
          <w:szCs w:val="24"/>
          <w:lang w:val="en-GB"/>
        </w:rPr>
        <w:t>the Public Prosecutor General of the Federal Court of Justice; the public prosecution offices at the higher regional courts (</w:t>
      </w:r>
      <w:r w:rsidR="00D2136F" w:rsidRPr="003D3705">
        <w:rPr>
          <w:rFonts w:ascii="Times New Roman" w:hAnsi="Times New Roman"/>
          <w:color w:val="000000" w:themeColor="text1"/>
          <w:sz w:val="24"/>
          <w:szCs w:val="24"/>
          <w:lang w:val="en-GB"/>
        </w:rPr>
        <w:t xml:space="preserve">i.e. </w:t>
      </w:r>
      <w:r w:rsidRPr="003D3705">
        <w:rPr>
          <w:rFonts w:ascii="Times New Roman" w:hAnsi="Times New Roman"/>
          <w:color w:val="000000" w:themeColor="text1"/>
          <w:sz w:val="24"/>
          <w:szCs w:val="24"/>
          <w:lang w:val="en-GB"/>
        </w:rPr>
        <w:t xml:space="preserve">offices of the chief public prosecutors); and the public prosecution offices at the regional courts </w:t>
      </w:r>
      <w:r w:rsidR="00356E01" w:rsidRPr="00356E01">
        <w:rPr>
          <w:rFonts w:ascii="Times New Roman" w:hAnsi="Times New Roman"/>
          <w:color w:val="000000" w:themeColor="text1"/>
          <w:sz w:val="24"/>
          <w:szCs w:val="24"/>
          <w:lang w:val="en-GB" w:eastAsia="de-DE"/>
        </w:rPr>
        <w:t>were</w:t>
      </w:r>
      <w:r w:rsidRPr="003D3705">
        <w:rPr>
          <w:rFonts w:ascii="Times New Roman" w:hAnsi="Times New Roman"/>
          <w:color w:val="000000" w:themeColor="text1"/>
          <w:sz w:val="24"/>
          <w:szCs w:val="24"/>
          <w:lang w:val="en" w:eastAsia="de-DE"/>
        </w:rPr>
        <w:t xml:space="preserve"> </w:t>
      </w:r>
      <w:r w:rsidR="00903CD7">
        <w:rPr>
          <w:rFonts w:ascii="Times New Roman" w:hAnsi="Times New Roman"/>
          <w:color w:val="000000" w:themeColor="text1"/>
          <w:sz w:val="24"/>
          <w:szCs w:val="24"/>
          <w:lang w:val="en" w:eastAsia="de-DE"/>
        </w:rPr>
        <w:t>designated</w:t>
      </w:r>
      <w:r w:rsidRPr="003D3705">
        <w:rPr>
          <w:rFonts w:ascii="Times New Roman" w:hAnsi="Times New Roman"/>
          <w:color w:val="000000" w:themeColor="text1"/>
          <w:sz w:val="24"/>
          <w:szCs w:val="24"/>
          <w:lang w:val="en" w:eastAsia="de-DE"/>
        </w:rPr>
        <w:t xml:space="preserve"> as central authorities to assist the competent </w:t>
      </w:r>
      <w:r w:rsidR="00D81F47">
        <w:rPr>
          <w:rFonts w:ascii="Times New Roman" w:hAnsi="Times New Roman"/>
          <w:color w:val="000000" w:themeColor="text1"/>
          <w:sz w:val="24"/>
          <w:szCs w:val="24"/>
          <w:lang w:val="en" w:eastAsia="de-DE"/>
        </w:rPr>
        <w:t>courts in issuing or executing EAWs</w:t>
      </w:r>
      <w:r w:rsidRPr="003D3705">
        <w:rPr>
          <w:rFonts w:ascii="Times New Roman" w:hAnsi="Times New Roman"/>
          <w:color w:val="000000" w:themeColor="text1"/>
          <w:sz w:val="24"/>
          <w:szCs w:val="24"/>
          <w:lang w:val="en" w:eastAsia="de-DE"/>
        </w:rPr>
        <w:t>.</w:t>
      </w:r>
      <w:r w:rsidR="00D2136F" w:rsidRPr="003D3705">
        <w:rPr>
          <w:rStyle w:val="Funotenzeichen"/>
          <w:rFonts w:ascii="Times New Roman" w:hAnsi="Times New Roman"/>
          <w:color w:val="000000" w:themeColor="text1"/>
          <w:sz w:val="24"/>
          <w:szCs w:val="24"/>
          <w:lang w:val="en" w:eastAsia="de-DE"/>
        </w:rPr>
        <w:footnoteReference w:id="92"/>
      </w:r>
      <w:r w:rsidRPr="003D3705">
        <w:rPr>
          <w:rFonts w:ascii="Times New Roman" w:hAnsi="Times New Roman"/>
          <w:color w:val="000000" w:themeColor="text1"/>
          <w:sz w:val="24"/>
          <w:szCs w:val="24"/>
          <w:lang w:val="en" w:eastAsia="de-DE"/>
        </w:rPr>
        <w:t xml:space="preserve"> </w:t>
      </w:r>
    </w:p>
    <w:p w14:paraId="47822302" w14:textId="32046A00" w:rsidR="004B2E1E" w:rsidRPr="003D3705" w:rsidRDefault="00D2136F" w:rsidP="00FC0A4D">
      <w:pPr>
        <w:spacing w:line="360" w:lineRule="auto"/>
        <w:jc w:val="both"/>
        <w:rPr>
          <w:i/>
          <w:color w:val="000000" w:themeColor="text1"/>
          <w:lang w:val="en-US"/>
        </w:rPr>
      </w:pPr>
      <w:r w:rsidRPr="003D3705">
        <w:rPr>
          <w:color w:val="000000" w:themeColor="text1"/>
          <w:lang w:val="en-US"/>
        </w:rPr>
        <w:t>The public prosecution offices at the relevant courts perform the tasks assigned to central authorities under Article 7(1), in</w:t>
      </w:r>
      <w:r w:rsidR="000D63C9" w:rsidRPr="003D3705">
        <w:rPr>
          <w:color w:val="000000" w:themeColor="text1"/>
          <w:lang w:val="en-US"/>
        </w:rPr>
        <w:t xml:space="preserve">cluding </w:t>
      </w:r>
      <w:r w:rsidRPr="003D3705">
        <w:rPr>
          <w:color w:val="000000" w:themeColor="text1"/>
          <w:lang w:val="en-US"/>
        </w:rPr>
        <w:t>the transmission and reception of EAWs, all related official correspondence, and the practical organi</w:t>
      </w:r>
      <w:r w:rsidR="00816360" w:rsidRPr="003D3705">
        <w:rPr>
          <w:color w:val="000000" w:themeColor="text1"/>
          <w:lang w:val="en-US"/>
        </w:rPr>
        <w:t>z</w:t>
      </w:r>
      <w:r w:rsidRPr="003D3705">
        <w:rPr>
          <w:color w:val="000000" w:themeColor="text1"/>
          <w:lang w:val="en-US"/>
        </w:rPr>
        <w:t>ation of their execution. For EAWs issued by other MS, the public prosecution offices at the higher regional courts serve as central authorities, with jurisdiction defined geographically based on the judicial district of the higher regional court</w:t>
      </w:r>
      <w:r w:rsidR="00CB599C" w:rsidRPr="003D3705">
        <w:rPr>
          <w:color w:val="000000" w:themeColor="text1"/>
          <w:lang w:val="en-US"/>
        </w:rPr>
        <w:t>.</w:t>
      </w:r>
    </w:p>
    <w:p w14:paraId="114ACB51" w14:textId="77777777" w:rsidR="00F90471" w:rsidRPr="007205F9" w:rsidRDefault="00F90471" w:rsidP="00F66380">
      <w:pPr>
        <w:spacing w:line="360" w:lineRule="auto"/>
        <w:jc w:val="both"/>
        <w:rPr>
          <w:i/>
          <w:color w:val="FF0000"/>
          <w:lang w:val="en-GB"/>
        </w:rPr>
      </w:pPr>
    </w:p>
    <w:p w14:paraId="0FCFE34B" w14:textId="77777777" w:rsidR="00BC2662" w:rsidRDefault="00BC2662" w:rsidP="00777A20">
      <w:pPr>
        <w:pStyle w:val="berschrift3"/>
        <w:numPr>
          <w:ilvl w:val="2"/>
          <w:numId w:val="5"/>
        </w:numPr>
        <w:ind w:left="1560" w:hanging="709"/>
        <w:rPr>
          <w:lang w:val="en-GB"/>
        </w:rPr>
      </w:pPr>
      <w:bookmarkStart w:id="34" w:name="_Toc147328917"/>
      <w:bookmarkStart w:id="35" w:name="_Toc147328951"/>
      <w:bookmarkStart w:id="36" w:name="_Toc147329063"/>
      <w:bookmarkStart w:id="37" w:name="_Toc170228493"/>
      <w:r>
        <w:rPr>
          <w:lang w:val="en-GB"/>
        </w:rPr>
        <w:t>Coordination</w:t>
      </w:r>
      <w:bookmarkEnd w:id="34"/>
      <w:bookmarkEnd w:id="35"/>
      <w:bookmarkEnd w:id="36"/>
      <w:bookmarkEnd w:id="37"/>
    </w:p>
    <w:p w14:paraId="354F65A0" w14:textId="77777777" w:rsidR="00BC2662" w:rsidRPr="00353C2A" w:rsidRDefault="00BC2662" w:rsidP="00777A20">
      <w:pPr>
        <w:spacing w:line="360" w:lineRule="auto"/>
        <w:jc w:val="both"/>
        <w:rPr>
          <w:color w:val="FF0000"/>
          <w:lang w:val="en-GB"/>
        </w:rPr>
      </w:pPr>
      <w:r w:rsidRPr="00353C2A">
        <w:rPr>
          <w:color w:val="FF0000"/>
          <w:lang w:val="en-GB"/>
        </w:rPr>
        <w:t>Are there any mechanisms (in law or in practice) for coordinating between:</w:t>
      </w:r>
    </w:p>
    <w:p w14:paraId="3EF0C2D7" w14:textId="1E749786" w:rsidR="00774F0D" w:rsidRDefault="00BC2662" w:rsidP="00774F0D">
      <w:pPr>
        <w:pStyle w:val="Listenabsatz"/>
        <w:numPr>
          <w:ilvl w:val="0"/>
          <w:numId w:val="8"/>
        </w:numPr>
        <w:spacing w:line="360" w:lineRule="auto"/>
        <w:jc w:val="both"/>
        <w:rPr>
          <w:color w:val="FF0000"/>
          <w:lang w:val="en-GB"/>
        </w:rPr>
      </w:pPr>
      <w:r w:rsidRPr="00774F0D">
        <w:rPr>
          <w:color w:val="FF0000"/>
          <w:lang w:val="en-GB"/>
        </w:rPr>
        <w:t>different (judicial) authorities that are competent under one and the same instrument/convention and;</w:t>
      </w:r>
    </w:p>
    <w:p w14:paraId="3657A262" w14:textId="77777777" w:rsidR="00F66380" w:rsidRPr="00F66380" w:rsidRDefault="00BC2662" w:rsidP="008C57BC">
      <w:pPr>
        <w:pStyle w:val="Listenabsatz"/>
        <w:numPr>
          <w:ilvl w:val="0"/>
          <w:numId w:val="8"/>
        </w:numPr>
        <w:spacing w:after="160" w:line="259" w:lineRule="auto"/>
        <w:jc w:val="both"/>
        <w:rPr>
          <w:lang w:val="en-GB"/>
        </w:rPr>
      </w:pPr>
      <w:r w:rsidRPr="00F66380">
        <w:rPr>
          <w:color w:val="FF0000"/>
          <w:lang w:val="en-GB"/>
        </w:rPr>
        <w:t>different (judicial) authorities that are competent under different instruments/conventions?</w:t>
      </w:r>
      <w:bookmarkStart w:id="38" w:name="_Toc147328918"/>
      <w:bookmarkStart w:id="39" w:name="_Toc147328952"/>
      <w:bookmarkStart w:id="40" w:name="_Toc147329064"/>
      <w:r w:rsidR="0005768A" w:rsidRPr="00F66380">
        <w:rPr>
          <w:color w:val="FF0000"/>
          <w:lang w:val="en-GB"/>
        </w:rPr>
        <w:t xml:space="preserve"> </w:t>
      </w:r>
    </w:p>
    <w:p w14:paraId="1A297B60" w14:textId="5008070C" w:rsidR="00774F0D" w:rsidRDefault="00F66380" w:rsidP="00354B1D">
      <w:pPr>
        <w:spacing w:line="360" w:lineRule="auto"/>
        <w:jc w:val="both"/>
        <w:rPr>
          <w:lang w:val="en-GB"/>
        </w:rPr>
      </w:pPr>
      <w:r w:rsidRPr="00F66380">
        <w:rPr>
          <w:lang w:val="en-GB"/>
        </w:rPr>
        <w:t xml:space="preserve">In general, the German system does not provide for coordination mechanisms because </w:t>
      </w:r>
      <w:r w:rsidR="00354B1D">
        <w:rPr>
          <w:lang w:val="en-GB"/>
        </w:rPr>
        <w:t xml:space="preserve">all cooperation instruments are available to </w:t>
      </w:r>
      <w:r w:rsidRPr="00F66380">
        <w:rPr>
          <w:lang w:val="en-GB"/>
        </w:rPr>
        <w:t xml:space="preserve">the authority </w:t>
      </w:r>
      <w:r w:rsidR="00354B1D">
        <w:rPr>
          <w:lang w:val="en-GB"/>
        </w:rPr>
        <w:t xml:space="preserve">that is in charge of conducting proceedings </w:t>
      </w:r>
      <w:r w:rsidRPr="00F66380">
        <w:rPr>
          <w:lang w:val="en-GB"/>
        </w:rPr>
        <w:t>(</w:t>
      </w:r>
      <w:r w:rsidR="00354B1D">
        <w:rPr>
          <w:lang w:val="en-GB"/>
        </w:rPr>
        <w:t>public prosecutor in the pre-trial and enforcement stage</w:t>
      </w:r>
      <w:r w:rsidRPr="00F66380">
        <w:rPr>
          <w:lang w:val="en-GB"/>
        </w:rPr>
        <w:t>, court</w:t>
      </w:r>
      <w:r w:rsidR="00354B1D">
        <w:rPr>
          <w:lang w:val="en-GB"/>
        </w:rPr>
        <w:t xml:space="preserve"> </w:t>
      </w:r>
      <w:r w:rsidR="00CC0ADF">
        <w:rPr>
          <w:lang w:val="en-GB"/>
        </w:rPr>
        <w:t>i</w:t>
      </w:r>
      <w:r w:rsidR="00354B1D">
        <w:rPr>
          <w:lang w:val="en-GB"/>
        </w:rPr>
        <w:t>n the trial stage</w:t>
      </w:r>
      <w:r w:rsidRPr="00F66380">
        <w:rPr>
          <w:lang w:val="en-GB"/>
        </w:rPr>
        <w:t>).</w:t>
      </w:r>
      <w:r w:rsidR="00354B1D">
        <w:rPr>
          <w:lang w:val="en-GB"/>
        </w:rPr>
        <w:t xml:space="preserve"> At the public prosecutor’s office</w:t>
      </w:r>
      <w:r w:rsidR="00C127F5">
        <w:rPr>
          <w:lang w:val="en-GB"/>
        </w:rPr>
        <w:t xml:space="preserve"> at the district court</w:t>
      </w:r>
      <w:r w:rsidR="00354B1D">
        <w:rPr>
          <w:lang w:val="en-GB"/>
        </w:rPr>
        <w:t>, there is usually a department for international cooperation for advising and supporting the investigating prosecutor</w:t>
      </w:r>
      <w:r w:rsidR="00C127F5">
        <w:rPr>
          <w:lang w:val="en-GB"/>
        </w:rPr>
        <w:t>; thus, both act as ’hands of the same body’</w:t>
      </w:r>
      <w:r w:rsidR="00C127F5">
        <w:rPr>
          <w:rStyle w:val="Funotenzeichen"/>
          <w:lang w:val="en-GB"/>
        </w:rPr>
        <w:footnoteReference w:id="93"/>
      </w:r>
      <w:r w:rsidR="00C127F5">
        <w:rPr>
          <w:lang w:val="en-GB"/>
        </w:rPr>
        <w:t>. T</w:t>
      </w:r>
      <w:r w:rsidR="00354B1D">
        <w:rPr>
          <w:lang w:val="en-GB"/>
        </w:rPr>
        <w:t>he decision on whether or not to use one of the cooperation instruments (and which one) is taken by the prosecutor that is in charge of the investigation.</w:t>
      </w:r>
      <w:r w:rsidR="00354B1D">
        <w:rPr>
          <w:rStyle w:val="Funotenzeichen"/>
          <w:lang w:val="en-GB"/>
        </w:rPr>
        <w:footnoteReference w:id="94"/>
      </w:r>
      <w:r w:rsidR="00354B1D">
        <w:rPr>
          <w:lang w:val="en-GB"/>
        </w:rPr>
        <w:t xml:space="preserve"> </w:t>
      </w:r>
      <w:r w:rsidR="00CE3EDE">
        <w:rPr>
          <w:lang w:val="en-GB"/>
        </w:rPr>
        <w:lastRenderedPageBreak/>
        <w:t>As has been mentioned before (</w:t>
      </w:r>
      <w:r w:rsidR="00CE3EDE">
        <w:rPr>
          <w:i/>
          <w:lang w:val="en-GB"/>
        </w:rPr>
        <w:t xml:space="preserve">supra </w:t>
      </w:r>
      <w:r w:rsidR="00CE3EDE">
        <w:rPr>
          <w:lang w:val="en-GB"/>
        </w:rPr>
        <w:t>1</w:t>
      </w:r>
      <w:r w:rsidR="000D623D">
        <w:rPr>
          <w:lang w:val="en-GB"/>
        </w:rPr>
        <w:t>.3.1.), the public prosecutor is not an independent authority, but</w:t>
      </w:r>
      <w:r w:rsidR="00CE3EDE">
        <w:rPr>
          <w:lang w:val="en-GB"/>
        </w:rPr>
        <w:t xml:space="preserve"> subject to instructions</w:t>
      </w:r>
      <w:r w:rsidR="000D623D">
        <w:rPr>
          <w:lang w:val="en-GB"/>
        </w:rPr>
        <w:t>; the state’s ministry of justice does not interfere in individual cases, but issues general instructions to ensure a uniform prosecution practice.</w:t>
      </w:r>
      <w:r w:rsidR="000D623D">
        <w:rPr>
          <w:rStyle w:val="Funotenzeichen"/>
          <w:lang w:val="en-GB"/>
        </w:rPr>
        <w:footnoteReference w:id="95"/>
      </w:r>
      <w:r w:rsidR="00CE3EDE">
        <w:rPr>
          <w:lang w:val="en-GB"/>
        </w:rPr>
        <w:t xml:space="preserve"> </w:t>
      </w:r>
      <w:r>
        <w:rPr>
          <w:lang w:val="en-GB"/>
        </w:rPr>
        <w:t>A sort of coordin</w:t>
      </w:r>
      <w:r w:rsidR="00354B1D">
        <w:rPr>
          <w:lang w:val="en-GB"/>
        </w:rPr>
        <w:t>ation is necessary</w:t>
      </w:r>
      <w:r>
        <w:rPr>
          <w:lang w:val="en-GB"/>
        </w:rPr>
        <w:t xml:space="preserve"> where </w:t>
      </w:r>
      <w:r w:rsidR="00354B1D">
        <w:rPr>
          <w:lang w:val="en-GB"/>
        </w:rPr>
        <w:t>a cooperation instrument is subject to court authorisation, e.g. a</w:t>
      </w:r>
      <w:r w:rsidR="00485F18">
        <w:rPr>
          <w:lang w:val="en-GB"/>
        </w:rPr>
        <w:t>n</w:t>
      </w:r>
      <w:r w:rsidR="00354B1D">
        <w:rPr>
          <w:lang w:val="en-GB"/>
        </w:rPr>
        <w:t xml:space="preserve"> EAW is issued by a judge upon application of the public prosecutor (</w:t>
      </w:r>
      <w:r w:rsidR="00354B1D">
        <w:rPr>
          <w:i/>
          <w:lang w:val="en-GB"/>
        </w:rPr>
        <w:t xml:space="preserve">supra </w:t>
      </w:r>
      <w:r w:rsidR="00354B1D">
        <w:rPr>
          <w:lang w:val="en-GB"/>
        </w:rPr>
        <w:t>1.3.1.)</w:t>
      </w:r>
      <w:r w:rsidR="008503D6">
        <w:rPr>
          <w:lang w:val="en-GB"/>
        </w:rPr>
        <w:t>.</w:t>
      </w:r>
      <w:r w:rsidR="004B559C">
        <w:rPr>
          <w:rStyle w:val="Funotenzeichen"/>
          <w:lang w:val="en-GB"/>
        </w:rPr>
        <w:footnoteReference w:id="96"/>
      </w:r>
      <w:r w:rsidR="004B559C">
        <w:rPr>
          <w:lang w:val="en-GB"/>
        </w:rPr>
        <w:t xml:space="preserve"> The issuing court, however, has no special department for international cooperation; so, the application and the practical implementation of the EAW mainly lies in the hands of the public prosecution service.</w:t>
      </w:r>
      <w:r w:rsidR="004B559C">
        <w:rPr>
          <w:rStyle w:val="Funotenzeichen"/>
          <w:lang w:val="en-GB"/>
        </w:rPr>
        <w:footnoteReference w:id="97"/>
      </w:r>
      <w:r w:rsidR="008B0E5B">
        <w:rPr>
          <w:lang w:val="en-GB"/>
        </w:rPr>
        <w:t xml:space="preserve"> </w:t>
      </w:r>
    </w:p>
    <w:p w14:paraId="135EC7B4" w14:textId="667EB569" w:rsidR="008503D6" w:rsidRDefault="008503D6" w:rsidP="00354B1D">
      <w:pPr>
        <w:spacing w:line="360" w:lineRule="auto"/>
        <w:jc w:val="both"/>
        <w:rPr>
          <w:lang w:val="en-GB"/>
        </w:rPr>
      </w:pPr>
      <w:r>
        <w:rPr>
          <w:lang w:val="en-GB"/>
        </w:rPr>
        <w:t>As a rule, investigation and prosecution in different proceedings are not coordinated, the public prosecutor rather focuses on its own investigation. A coordination of proceedings may be necessary in complex cases</w:t>
      </w:r>
      <w:r w:rsidR="004B559C">
        <w:rPr>
          <w:lang w:val="en-GB"/>
        </w:rPr>
        <w:t xml:space="preserve"> where two or more public prosecutor offices are involved in the investigation</w:t>
      </w:r>
      <w:r w:rsidR="00746630">
        <w:rPr>
          <w:lang w:val="en-GB"/>
        </w:rPr>
        <w:t xml:space="preserve">, but </w:t>
      </w:r>
      <w:r w:rsidR="00360CD3">
        <w:rPr>
          <w:lang w:val="en-GB"/>
        </w:rPr>
        <w:t xml:space="preserve">there is </w:t>
      </w:r>
      <w:r w:rsidR="00746630">
        <w:rPr>
          <w:lang w:val="en-GB"/>
        </w:rPr>
        <w:t>no specific m</w:t>
      </w:r>
      <w:r w:rsidR="00360CD3">
        <w:rPr>
          <w:lang w:val="en-GB"/>
        </w:rPr>
        <w:t>echanism for initiating contact, rather it depends on the respective public prosecutor’s offices</w:t>
      </w:r>
      <w:r w:rsidR="004B559C">
        <w:rPr>
          <w:lang w:val="en-GB"/>
        </w:rPr>
        <w:t>.</w:t>
      </w:r>
      <w:r w:rsidR="004B559C">
        <w:rPr>
          <w:rStyle w:val="Funotenzeichen"/>
          <w:lang w:val="en-GB"/>
        </w:rPr>
        <w:footnoteReference w:id="98"/>
      </w:r>
    </w:p>
    <w:p w14:paraId="30E80EB9" w14:textId="7AA59AED" w:rsidR="008503D6" w:rsidRPr="00F66380" w:rsidRDefault="008503D6" w:rsidP="00354B1D">
      <w:pPr>
        <w:spacing w:line="360" w:lineRule="auto"/>
        <w:jc w:val="both"/>
        <w:rPr>
          <w:lang w:val="en-GB"/>
        </w:rPr>
      </w:pPr>
      <w:r>
        <w:rPr>
          <w:lang w:val="en-GB"/>
        </w:rPr>
        <w:t xml:space="preserve">In the enforcement stage, the enforcing authority shall establish whether the convicted person is prosecuted or has been convicted </w:t>
      </w:r>
      <w:r w:rsidR="005719EA">
        <w:rPr>
          <w:lang w:val="en-GB"/>
        </w:rPr>
        <w:t>for other offences and contact the competent authority in order to coordinate these proceedings with its own request for enforcement (No. 107 GICCM).</w:t>
      </w:r>
    </w:p>
    <w:p w14:paraId="160012FB" w14:textId="77777777" w:rsidR="00F66380" w:rsidRDefault="00F66380">
      <w:pPr>
        <w:spacing w:after="160" w:line="259" w:lineRule="auto"/>
        <w:rPr>
          <w:lang w:val="en-GB"/>
        </w:rPr>
      </w:pPr>
    </w:p>
    <w:p w14:paraId="0AEBDD68" w14:textId="4D8FA13D" w:rsidR="00BC2662" w:rsidRPr="00774F0D" w:rsidRDefault="003A5F21" w:rsidP="00774F0D">
      <w:pPr>
        <w:pStyle w:val="berschrift1"/>
        <w:rPr>
          <w:lang w:val="en-GB"/>
        </w:rPr>
      </w:pPr>
      <w:bookmarkStart w:id="41" w:name="_Toc170228494"/>
      <w:r w:rsidRPr="00774F0D">
        <w:rPr>
          <w:lang w:val="en-GB"/>
        </w:rPr>
        <w:t>The instruments and investigation/prosecution</w:t>
      </w:r>
      <w:bookmarkEnd w:id="38"/>
      <w:bookmarkEnd w:id="39"/>
      <w:bookmarkEnd w:id="40"/>
      <w:bookmarkEnd w:id="41"/>
    </w:p>
    <w:p w14:paraId="343B2D8D" w14:textId="77777777" w:rsidR="00CA1AB2" w:rsidRDefault="00CA1AB2" w:rsidP="00777A20">
      <w:pPr>
        <w:jc w:val="both"/>
        <w:rPr>
          <w:b/>
          <w:color w:val="FF0000"/>
          <w:lang w:val="en-GB"/>
        </w:rPr>
      </w:pPr>
    </w:p>
    <w:p w14:paraId="159985E6" w14:textId="5F17EF10" w:rsidR="003A5F21" w:rsidRPr="003A5F21" w:rsidRDefault="003A5F21" w:rsidP="00777A20">
      <w:pPr>
        <w:jc w:val="both"/>
        <w:rPr>
          <w:b/>
          <w:color w:val="FF0000"/>
          <w:lang w:val="en-GB"/>
        </w:rPr>
      </w:pPr>
      <w:r>
        <w:rPr>
          <w:b/>
          <w:color w:val="FF0000"/>
          <w:lang w:val="en-GB"/>
        </w:rPr>
        <w:t>General introduction</w:t>
      </w:r>
    </w:p>
    <w:p w14:paraId="3DB274FD" w14:textId="77777777" w:rsidR="003A5F21" w:rsidRDefault="003A5F21" w:rsidP="00777A20">
      <w:pPr>
        <w:jc w:val="both"/>
        <w:rPr>
          <w:lang w:val="en-GB"/>
        </w:rPr>
      </w:pPr>
    </w:p>
    <w:p w14:paraId="023EDCBD" w14:textId="77777777" w:rsidR="003A5F21" w:rsidRPr="00353C2A" w:rsidRDefault="003A5F21" w:rsidP="00777A20">
      <w:pPr>
        <w:spacing w:line="360" w:lineRule="auto"/>
        <w:jc w:val="both"/>
        <w:rPr>
          <w:color w:val="FF0000"/>
          <w:lang w:val="en-GB"/>
        </w:rPr>
      </w:pPr>
      <w:r w:rsidRPr="00353C2A">
        <w:rPr>
          <w:color w:val="FF0000"/>
          <w:lang w:val="en-GB"/>
        </w:rPr>
        <w:t>As discussed in the proposal, our perspective is the perspective of the competent national authority that has to decide whether or not to request judicial cooperation in a criminal case with a particular transnational component:</w:t>
      </w:r>
    </w:p>
    <w:p w14:paraId="40A6F56F" w14:textId="77777777" w:rsidR="003A5F21" w:rsidRPr="003A5F21" w:rsidRDefault="003A5F21" w:rsidP="00777A20">
      <w:pPr>
        <w:numPr>
          <w:ilvl w:val="0"/>
          <w:numId w:val="14"/>
        </w:numPr>
        <w:spacing w:line="360" w:lineRule="auto"/>
        <w:jc w:val="both"/>
        <w:rPr>
          <w:color w:val="FF0000"/>
          <w:lang w:val="en-GB"/>
        </w:rPr>
      </w:pPr>
      <w:r w:rsidRPr="00353C2A">
        <w:rPr>
          <w:color w:val="FF0000"/>
          <w:lang w:val="en-GB"/>
        </w:rPr>
        <w:t>either the person concerned resides in another Member State;</w:t>
      </w:r>
    </w:p>
    <w:p w14:paraId="602274B2" w14:textId="213081FA" w:rsidR="003A5F21" w:rsidRPr="00F44757" w:rsidRDefault="003A5F21" w:rsidP="00777A20">
      <w:pPr>
        <w:numPr>
          <w:ilvl w:val="0"/>
          <w:numId w:val="14"/>
        </w:numPr>
        <w:spacing w:line="360" w:lineRule="auto"/>
        <w:jc w:val="both"/>
        <w:rPr>
          <w:color w:val="FF0000"/>
          <w:lang w:val="en-GB"/>
        </w:rPr>
      </w:pPr>
      <w:r w:rsidRPr="00353C2A">
        <w:rPr>
          <w:color w:val="FF0000"/>
          <w:lang w:val="en-GB"/>
        </w:rPr>
        <w:t>or he is a national or resident of another Member State</w:t>
      </w:r>
      <w:r w:rsidR="00305AD8" w:rsidRPr="00F44757">
        <w:rPr>
          <w:color w:val="FF0000"/>
          <w:lang w:val="en-GB"/>
        </w:rPr>
        <w:t xml:space="preserve"> (but present in the issuing Member State)</w:t>
      </w:r>
      <w:r w:rsidRPr="00F44757">
        <w:rPr>
          <w:color w:val="FF0000"/>
          <w:lang w:val="en-GB"/>
        </w:rPr>
        <w:t>.</w:t>
      </w:r>
    </w:p>
    <w:p w14:paraId="24E3CB8C" w14:textId="77777777" w:rsidR="003A5F21" w:rsidRPr="00F44757" w:rsidRDefault="003A5F21" w:rsidP="00777A20">
      <w:pPr>
        <w:spacing w:line="360" w:lineRule="auto"/>
        <w:jc w:val="both"/>
        <w:rPr>
          <w:color w:val="FF0000"/>
          <w:lang w:val="en-GB"/>
        </w:rPr>
      </w:pPr>
    </w:p>
    <w:p w14:paraId="52048F80" w14:textId="5AE952D9" w:rsidR="003A5F21" w:rsidRPr="00F44757" w:rsidRDefault="003A5F21" w:rsidP="00777A20">
      <w:pPr>
        <w:spacing w:line="360" w:lineRule="auto"/>
        <w:jc w:val="both"/>
        <w:rPr>
          <w:color w:val="FF0000"/>
          <w:lang w:val="en-GB"/>
        </w:rPr>
      </w:pPr>
      <w:r w:rsidRPr="00F44757">
        <w:rPr>
          <w:color w:val="FF0000"/>
          <w:lang w:val="en-GB"/>
        </w:rPr>
        <w:t xml:space="preserve">In order to establish (a lack of) coherence and effectiveness when applying the instruments, chapters 2 and 3 are divided according to the general goals pursued by the competent national </w:t>
      </w:r>
      <w:r w:rsidRPr="00F44757">
        <w:rPr>
          <w:color w:val="FF0000"/>
          <w:lang w:val="en-GB"/>
        </w:rPr>
        <w:lastRenderedPageBreak/>
        <w:t>authority: investigation/prosecution on the one hand (Chapter 2) and enforcement of a sentence on the other (Chapter 3). Chapters 2</w:t>
      </w:r>
      <w:r w:rsidR="00B97282" w:rsidRPr="00F44757">
        <w:rPr>
          <w:color w:val="FF0000"/>
          <w:lang w:val="en-GB"/>
        </w:rPr>
        <w:t>-5</w:t>
      </w:r>
      <w:r w:rsidRPr="00F44757">
        <w:rPr>
          <w:color w:val="FF0000"/>
          <w:lang w:val="en-GB"/>
        </w:rPr>
        <w:t xml:space="preserve"> correspond to elements I and II of the methodology. </w:t>
      </w:r>
    </w:p>
    <w:p w14:paraId="140212F2" w14:textId="77777777" w:rsidR="003A5F21" w:rsidRPr="00F44757" w:rsidRDefault="003A5F21" w:rsidP="00777A20">
      <w:pPr>
        <w:spacing w:line="360" w:lineRule="auto"/>
        <w:jc w:val="both"/>
        <w:rPr>
          <w:b/>
          <w:bCs/>
          <w:color w:val="FF0000"/>
          <w:lang w:val="en-GB"/>
        </w:rPr>
      </w:pPr>
    </w:p>
    <w:p w14:paraId="6B7F6ABD" w14:textId="018679A4" w:rsidR="003A5F21" w:rsidRPr="00F44757" w:rsidRDefault="003A5F21" w:rsidP="00A51C7E">
      <w:pPr>
        <w:spacing w:line="360" w:lineRule="auto"/>
        <w:jc w:val="both"/>
        <w:rPr>
          <w:color w:val="FF0000"/>
          <w:lang w:val="en-GB"/>
        </w:rPr>
      </w:pPr>
      <w:r w:rsidRPr="00F44757">
        <w:rPr>
          <w:color w:val="FF0000"/>
          <w:lang w:val="en-GB"/>
        </w:rPr>
        <w:t xml:space="preserve">As to Chapter 2, the goal of investigation and/or prosecution can only be pursued in the stages preceding the stage of enforcement of a sentence. Those stages are the pre-trial stage and the trial stage. </w:t>
      </w:r>
      <w:r w:rsidR="001E05F1" w:rsidRPr="00F44757">
        <w:rPr>
          <w:color w:val="FF0000"/>
          <w:lang w:val="en-GB"/>
        </w:rPr>
        <w:t>Thus, the concept of “prosecution” includes the trial. It is not ex</w:t>
      </w:r>
      <w:r w:rsidR="005F4ACA" w:rsidRPr="00F44757">
        <w:rPr>
          <w:color w:val="FF0000"/>
          <w:lang w:val="en-GB"/>
        </w:rPr>
        <w:t>c</w:t>
      </w:r>
      <w:r w:rsidR="001E05F1" w:rsidRPr="00F44757">
        <w:rPr>
          <w:color w:val="FF0000"/>
          <w:lang w:val="en-GB"/>
        </w:rPr>
        <w:t>luded that at the trial stage</w:t>
      </w:r>
      <w:r w:rsidR="005F4ACA" w:rsidRPr="00F44757">
        <w:rPr>
          <w:color w:val="FF0000"/>
          <w:lang w:val="en-GB"/>
        </w:rPr>
        <w:t xml:space="preserve"> – and thus during “prosecution” – investigative measures (such </w:t>
      </w:r>
      <w:r w:rsidR="003577A5">
        <w:rPr>
          <w:color w:val="FF0000"/>
          <w:lang w:val="en-GB"/>
        </w:rPr>
        <w:t xml:space="preserve">as </w:t>
      </w:r>
      <w:r w:rsidR="005F4ACA" w:rsidRPr="00F44757">
        <w:rPr>
          <w:color w:val="FF0000"/>
          <w:lang w:val="en-GB"/>
        </w:rPr>
        <w:t xml:space="preserve">interrogating the defendant in another MS) are carried out.   </w:t>
      </w:r>
      <w:r w:rsidR="001E05F1" w:rsidRPr="00F44757">
        <w:rPr>
          <w:color w:val="FF0000"/>
          <w:lang w:val="en-GB"/>
        </w:rPr>
        <w:t xml:space="preserve"> </w:t>
      </w:r>
    </w:p>
    <w:p w14:paraId="122ECC2D" w14:textId="77A00C73" w:rsidR="003A5F21" w:rsidRPr="00F44757" w:rsidRDefault="003A5F21" w:rsidP="00777A20">
      <w:pPr>
        <w:spacing w:line="360" w:lineRule="auto"/>
        <w:jc w:val="both"/>
        <w:rPr>
          <w:color w:val="FF0000"/>
          <w:lang w:val="en-GB"/>
        </w:rPr>
      </w:pPr>
      <w:r w:rsidRPr="00F44757">
        <w:rPr>
          <w:color w:val="FF0000"/>
          <w:lang w:val="en-GB"/>
        </w:rPr>
        <w:t>The pre-trial stage comprises the investigation into an offence from the moment the authorities become aware that an offence has been committed (even when the probable author of that offence is not yet known) up to the decision that the probable author of the offence must stand trial.</w:t>
      </w:r>
      <w:r w:rsidRPr="00F44757">
        <w:rPr>
          <w:b/>
          <w:bCs/>
          <w:color w:val="FF0000"/>
          <w:lang w:val="en-GB"/>
        </w:rPr>
        <w:t xml:space="preserve"> </w:t>
      </w:r>
      <w:r w:rsidRPr="00F44757">
        <w:rPr>
          <w:color w:val="FF0000"/>
          <w:lang w:val="en-GB"/>
        </w:rPr>
        <w:t xml:space="preserve">The trial stage starts from the moment the competent national authority decides that the person concerned must stand trial. It ends when the decision of a court to convict the person concerned and to impose a sentence on him becomes final and enforceable. It comprises, therefore, a trial on appeal. </w:t>
      </w:r>
      <w:r w:rsidRPr="00F44757">
        <w:rPr>
          <w:color w:val="FF0000"/>
          <w:u w:val="single"/>
          <w:lang w:val="en-GB"/>
        </w:rPr>
        <w:t>Proceedings in which only questions of law are addressed are excluded</w:t>
      </w:r>
      <w:r w:rsidRPr="00F44757">
        <w:rPr>
          <w:color w:val="FF0000"/>
          <w:lang w:val="en-GB"/>
        </w:rPr>
        <w:t xml:space="preserve">. </w:t>
      </w:r>
      <w:r w:rsidR="00C233B2" w:rsidRPr="00F44757">
        <w:rPr>
          <w:color w:val="FF0000"/>
          <w:lang w:val="en-GB"/>
        </w:rPr>
        <w:t>During</w:t>
      </w:r>
      <w:r w:rsidRPr="00F44757">
        <w:rPr>
          <w:color w:val="FF0000"/>
          <w:lang w:val="en-GB"/>
        </w:rPr>
        <w:t xml:space="preserve"> such proceedings, there is no need for </w:t>
      </w:r>
      <w:r w:rsidR="00C233B2" w:rsidRPr="00F44757">
        <w:rPr>
          <w:color w:val="FF0000"/>
          <w:lang w:val="en-GB"/>
        </w:rPr>
        <w:t xml:space="preserve">forms of </w:t>
      </w:r>
      <w:r w:rsidRPr="00F44757">
        <w:rPr>
          <w:color w:val="FF0000"/>
          <w:lang w:val="en-GB"/>
        </w:rPr>
        <w:t>judicial cooperation</w:t>
      </w:r>
      <w:r w:rsidR="00C233B2" w:rsidRPr="00F44757">
        <w:rPr>
          <w:color w:val="FF0000"/>
          <w:lang w:val="en-GB"/>
        </w:rPr>
        <w:t xml:space="preserve"> that are in </w:t>
      </w:r>
      <w:r w:rsidR="003577A5">
        <w:rPr>
          <w:color w:val="FF0000"/>
          <w:lang w:val="en-GB"/>
        </w:rPr>
        <w:t xml:space="preserve">the </w:t>
      </w:r>
      <w:r w:rsidR="00C233B2" w:rsidRPr="00F44757">
        <w:rPr>
          <w:color w:val="FF0000"/>
          <w:lang w:val="en-GB"/>
        </w:rPr>
        <w:t>scope of the project, i.e. that are capable of prejudicing the liberty of the person concerned (see p. 6)</w:t>
      </w:r>
      <w:r w:rsidRPr="00F44757">
        <w:rPr>
          <w:color w:val="FF0000"/>
          <w:lang w:val="en-GB"/>
        </w:rPr>
        <w:t>.</w:t>
      </w:r>
      <w:r w:rsidR="00B117AE">
        <w:rPr>
          <w:rStyle w:val="Funotenzeichen"/>
          <w:color w:val="FF0000"/>
          <w:lang w:val="en-GB"/>
        </w:rPr>
        <w:footnoteReference w:id="99"/>
      </w:r>
    </w:p>
    <w:p w14:paraId="285B8309" w14:textId="77777777" w:rsidR="003A5F21" w:rsidRPr="00F44757" w:rsidRDefault="003A5F21" w:rsidP="00777A20">
      <w:pPr>
        <w:spacing w:line="360" w:lineRule="auto"/>
        <w:jc w:val="both"/>
        <w:rPr>
          <w:color w:val="FF0000"/>
          <w:lang w:val="en-GB"/>
        </w:rPr>
      </w:pPr>
    </w:p>
    <w:p w14:paraId="59BEBBF2" w14:textId="77777777" w:rsidR="003A5F21" w:rsidRPr="00F44757" w:rsidRDefault="003A5F21" w:rsidP="00777A20">
      <w:pPr>
        <w:spacing w:line="360" w:lineRule="auto"/>
        <w:jc w:val="both"/>
        <w:rPr>
          <w:color w:val="FF0000"/>
          <w:lang w:val="en-GB"/>
        </w:rPr>
      </w:pPr>
      <w:r w:rsidRPr="00F44757">
        <w:rPr>
          <w:color w:val="FF0000"/>
          <w:lang w:val="en-GB"/>
        </w:rPr>
        <w:t xml:space="preserve">The chapter on investigation/prosecution is subdivided into: </w:t>
      </w:r>
    </w:p>
    <w:p w14:paraId="053D1E4A" w14:textId="052E12DD" w:rsidR="003A5F21" w:rsidRPr="00F44757" w:rsidRDefault="003A5F21" w:rsidP="00777A20">
      <w:pPr>
        <w:pStyle w:val="Listenabsatz"/>
        <w:numPr>
          <w:ilvl w:val="0"/>
          <w:numId w:val="14"/>
        </w:numPr>
        <w:spacing w:line="360" w:lineRule="auto"/>
        <w:jc w:val="both"/>
        <w:rPr>
          <w:color w:val="FF0000"/>
          <w:lang w:val="en-GB"/>
        </w:rPr>
      </w:pPr>
      <w:r w:rsidRPr="00F44757">
        <w:rPr>
          <w:color w:val="FF0000"/>
          <w:lang w:val="en-GB"/>
        </w:rPr>
        <w:t xml:space="preserve">a general part, identifying </w:t>
      </w:r>
      <w:r w:rsidRPr="00F44757">
        <w:rPr>
          <w:i/>
          <w:iCs/>
          <w:color w:val="FF0000"/>
          <w:lang w:val="en-GB"/>
        </w:rPr>
        <w:t>in abstracto</w:t>
      </w:r>
      <w:r w:rsidRPr="00F44757">
        <w:rPr>
          <w:color w:val="FF0000"/>
          <w:lang w:val="en-GB"/>
        </w:rPr>
        <w:t xml:space="preserve"> the instruments that can be employed to pursue the general goal of investigation/prosecution </w:t>
      </w:r>
      <w:r w:rsidR="00A078F8" w:rsidRPr="00F44757">
        <w:rPr>
          <w:color w:val="FF0000"/>
          <w:lang w:val="en-GB"/>
        </w:rPr>
        <w:t xml:space="preserve">(i.e. their “applicability”) </w:t>
      </w:r>
      <w:r w:rsidRPr="00F44757">
        <w:rPr>
          <w:color w:val="FF0000"/>
          <w:lang w:val="en-GB"/>
        </w:rPr>
        <w:t>(2.1), and</w:t>
      </w:r>
    </w:p>
    <w:p w14:paraId="14BFBB87" w14:textId="1519BC87" w:rsidR="003A5F21" w:rsidRPr="00F44757" w:rsidRDefault="003A5F21" w:rsidP="00777A20">
      <w:pPr>
        <w:pStyle w:val="Listenabsatz"/>
        <w:numPr>
          <w:ilvl w:val="0"/>
          <w:numId w:val="14"/>
        </w:numPr>
        <w:spacing w:line="360" w:lineRule="auto"/>
        <w:jc w:val="both"/>
        <w:rPr>
          <w:color w:val="FF0000"/>
          <w:lang w:val="en-GB"/>
        </w:rPr>
      </w:pPr>
      <w:r w:rsidRPr="00F44757">
        <w:rPr>
          <w:color w:val="FF0000"/>
          <w:lang w:val="en-GB"/>
        </w:rPr>
        <w:t>a specific part, identifying the consideration</w:t>
      </w:r>
      <w:r w:rsidR="00305AD8" w:rsidRPr="00F44757">
        <w:rPr>
          <w:color w:val="FF0000"/>
          <w:lang w:val="en-GB"/>
        </w:rPr>
        <w:t>s</w:t>
      </w:r>
      <w:r w:rsidRPr="00F44757">
        <w:rPr>
          <w:color w:val="FF0000"/>
          <w:lang w:val="en-GB"/>
        </w:rPr>
        <w:t xml:space="preserve"> that play a role when deciding on whether to employ those instruments </w:t>
      </w:r>
      <w:r w:rsidRPr="00F44757">
        <w:rPr>
          <w:i/>
          <w:iCs/>
          <w:color w:val="FF0000"/>
          <w:lang w:val="en-GB"/>
        </w:rPr>
        <w:t xml:space="preserve">in concreto </w:t>
      </w:r>
      <w:r w:rsidRPr="00F44757">
        <w:rPr>
          <w:color w:val="FF0000"/>
          <w:lang w:val="en-GB"/>
        </w:rPr>
        <w:t>in the pre-trial and trial stages (2.2 and 2.3) in connection with more specific goals that are pursued</w:t>
      </w:r>
      <w:r w:rsidR="00A078F8" w:rsidRPr="00F44757">
        <w:rPr>
          <w:color w:val="FF0000"/>
          <w:lang w:val="en-GB"/>
        </w:rPr>
        <w:t xml:space="preserve"> (i.e. their “application” in a given case)</w:t>
      </w:r>
      <w:r w:rsidRPr="00F44757">
        <w:rPr>
          <w:color w:val="FF0000"/>
          <w:lang w:val="en-GB"/>
        </w:rPr>
        <w:t xml:space="preserve">. </w:t>
      </w:r>
    </w:p>
    <w:p w14:paraId="1A89D7D4" w14:textId="77777777" w:rsidR="003A5F21" w:rsidRDefault="003A5F21" w:rsidP="00777A20">
      <w:pPr>
        <w:jc w:val="both"/>
        <w:rPr>
          <w:lang w:val="en-GB"/>
        </w:rPr>
      </w:pPr>
    </w:p>
    <w:p w14:paraId="352992D1" w14:textId="6D0E1D86" w:rsidR="003A5F21" w:rsidRDefault="003A5F21" w:rsidP="00777A20">
      <w:pPr>
        <w:pStyle w:val="berschrift2"/>
        <w:numPr>
          <w:ilvl w:val="1"/>
          <w:numId w:val="16"/>
        </w:numPr>
        <w:ind w:left="567" w:firstLine="0"/>
        <w:rPr>
          <w:lang w:val="en-GB"/>
        </w:rPr>
      </w:pPr>
      <w:bookmarkStart w:id="42" w:name="_Toc147328919"/>
      <w:bookmarkStart w:id="43" w:name="_Toc147328953"/>
      <w:bookmarkStart w:id="44" w:name="_Toc147329065"/>
      <w:bookmarkStart w:id="45" w:name="_Toc170228495"/>
      <w:r>
        <w:rPr>
          <w:lang w:val="en-GB"/>
        </w:rPr>
        <w:lastRenderedPageBreak/>
        <w:t>Applicability of the instruments</w:t>
      </w:r>
      <w:r w:rsidR="003D6AA1">
        <w:rPr>
          <w:lang w:val="en-GB"/>
        </w:rPr>
        <w:t xml:space="preserve"> according to EU law</w:t>
      </w:r>
      <w:r w:rsidRPr="00353C2A">
        <w:rPr>
          <w:rStyle w:val="Funotenzeichen"/>
          <w:b w:val="0"/>
          <w:bCs/>
          <w:lang w:val="en-GB"/>
        </w:rPr>
        <w:footnoteReference w:id="100"/>
      </w:r>
      <w:bookmarkEnd w:id="42"/>
      <w:bookmarkEnd w:id="43"/>
      <w:bookmarkEnd w:id="44"/>
      <w:bookmarkEnd w:id="45"/>
    </w:p>
    <w:p w14:paraId="16F23B9D" w14:textId="77777777" w:rsidR="003A5F21" w:rsidRPr="00353C2A" w:rsidRDefault="003A5F21" w:rsidP="00777A20">
      <w:pPr>
        <w:spacing w:line="360" w:lineRule="auto"/>
        <w:jc w:val="both"/>
        <w:rPr>
          <w:color w:val="FF0000"/>
          <w:lang w:val="en-GB"/>
        </w:rPr>
      </w:pPr>
      <w:r w:rsidRPr="00353C2A">
        <w:rPr>
          <w:color w:val="FF0000"/>
          <w:lang w:val="en-GB"/>
        </w:rPr>
        <w:t>In Section 2.1, the listed instruments are those that – in our preliminary view – apply to that particular stage from the of EU-law perspective. This means that in this stage national law and national arrangements are not relevant.</w:t>
      </w:r>
      <w:r w:rsidRPr="00353C2A">
        <w:rPr>
          <w:rStyle w:val="Funotenzeichen"/>
          <w:rFonts w:eastAsiaTheme="majorEastAsia"/>
          <w:color w:val="FF0000"/>
          <w:lang w:val="en-GB"/>
        </w:rPr>
        <w:footnoteReference w:id="101"/>
      </w:r>
      <w:r w:rsidRPr="00353C2A">
        <w:rPr>
          <w:color w:val="FF0000"/>
          <w:lang w:val="en-GB"/>
        </w:rPr>
        <w:t xml:space="preserve"> </w:t>
      </w:r>
    </w:p>
    <w:p w14:paraId="65E5A7C9" w14:textId="77777777" w:rsidR="003A5F21" w:rsidRPr="00353C2A" w:rsidRDefault="003A5F21" w:rsidP="00777A20">
      <w:pPr>
        <w:spacing w:line="360" w:lineRule="auto"/>
        <w:jc w:val="both"/>
        <w:rPr>
          <w:color w:val="FF0000"/>
          <w:lang w:val="en-GB"/>
        </w:rPr>
      </w:pPr>
    </w:p>
    <w:p w14:paraId="3662BB3D" w14:textId="6504F38C" w:rsidR="003A5F21" w:rsidRDefault="003A5F21" w:rsidP="00777A20">
      <w:pPr>
        <w:spacing w:line="360" w:lineRule="auto"/>
        <w:jc w:val="both"/>
        <w:rPr>
          <w:color w:val="FF0000"/>
          <w:lang w:val="en-GB"/>
        </w:rPr>
      </w:pPr>
      <w:r w:rsidRPr="00353C2A">
        <w:rPr>
          <w:color w:val="FF0000"/>
          <w:lang w:val="en-GB"/>
        </w:rPr>
        <w:t xml:space="preserve">From the perspective of EU law, there are doubts regarding the applicability of </w:t>
      </w:r>
      <w:r w:rsidR="00305AD8">
        <w:rPr>
          <w:color w:val="FF0000"/>
          <w:lang w:val="en-GB"/>
        </w:rPr>
        <w:t>s</w:t>
      </w:r>
      <w:r w:rsidRPr="00353C2A">
        <w:rPr>
          <w:color w:val="FF0000"/>
          <w:lang w:val="en-GB"/>
        </w:rPr>
        <w:t>ome of the instruments listed.</w:t>
      </w:r>
      <w:r w:rsidRPr="00353C2A">
        <w:rPr>
          <w:rStyle w:val="Funotenzeichen"/>
          <w:rFonts w:eastAsiaTheme="majorEastAsia"/>
          <w:color w:val="FF0000"/>
          <w:lang w:val="en-GB"/>
        </w:rPr>
        <w:footnoteReference w:id="102"/>
      </w:r>
      <w:r w:rsidRPr="00353C2A">
        <w:rPr>
          <w:color w:val="FF0000"/>
          <w:lang w:val="en-GB"/>
        </w:rPr>
        <w:t xml:space="preserve"> These instruments are denoted by a question mark in red, like this: ‘FD 2009/829/JHA (?)’. The reason for the question mark is explained in red. The NARs will give their opinion on the applicability of those instruments fr</w:t>
      </w:r>
      <w:r w:rsidR="00305AD8">
        <w:rPr>
          <w:color w:val="FF0000"/>
          <w:lang w:val="en-GB"/>
        </w:rPr>
        <w:t>o</w:t>
      </w:r>
      <w:r w:rsidRPr="00353C2A">
        <w:rPr>
          <w:color w:val="FF0000"/>
          <w:lang w:val="en-GB"/>
        </w:rPr>
        <w:t xml:space="preserve">m the perspective of EU law. Please refer to </w:t>
      </w:r>
      <w:r w:rsidR="003577A5">
        <w:rPr>
          <w:color w:val="FF0000"/>
          <w:lang w:val="en-GB"/>
        </w:rPr>
        <w:t xml:space="preserve">the </w:t>
      </w:r>
      <w:r w:rsidRPr="00353C2A">
        <w:rPr>
          <w:color w:val="FF0000"/>
          <w:lang w:val="en-GB"/>
        </w:rPr>
        <w:t>case-law of the CJEU, national case-law, legal literature and national parliamentary debates where relevant.</w:t>
      </w:r>
      <w:r w:rsidRPr="00353C2A">
        <w:rPr>
          <w:rStyle w:val="Funotenzeichen"/>
          <w:rFonts w:eastAsiaTheme="majorEastAsia"/>
          <w:color w:val="FF0000"/>
          <w:lang w:val="en-GB"/>
        </w:rPr>
        <w:footnoteReference w:id="103"/>
      </w:r>
    </w:p>
    <w:p w14:paraId="04B5D83F" w14:textId="77777777" w:rsidR="003A5F21" w:rsidRPr="00353C2A" w:rsidRDefault="003A5F21" w:rsidP="00777A20">
      <w:pPr>
        <w:spacing w:line="360" w:lineRule="auto"/>
        <w:jc w:val="both"/>
        <w:rPr>
          <w:color w:val="FF0000"/>
          <w:lang w:val="en-GB"/>
        </w:rPr>
      </w:pPr>
    </w:p>
    <w:p w14:paraId="4F35AE7F" w14:textId="77777777" w:rsidR="003A5F21" w:rsidRDefault="003A5F21" w:rsidP="00777A20">
      <w:pPr>
        <w:pStyle w:val="berschrift3"/>
        <w:numPr>
          <w:ilvl w:val="2"/>
          <w:numId w:val="15"/>
        </w:numPr>
        <w:ind w:left="1560" w:hanging="709"/>
        <w:rPr>
          <w:lang w:val="en-GB"/>
        </w:rPr>
      </w:pPr>
      <w:bookmarkStart w:id="46" w:name="_Toc147328920"/>
      <w:bookmarkStart w:id="47" w:name="_Toc147328954"/>
      <w:bookmarkStart w:id="48" w:name="_Toc147329066"/>
      <w:bookmarkStart w:id="49" w:name="_Toc170228496"/>
      <w:r>
        <w:rPr>
          <w:lang w:val="en-GB"/>
        </w:rPr>
        <w:t>Pre-trial stage</w:t>
      </w:r>
      <w:bookmarkEnd w:id="46"/>
      <w:bookmarkEnd w:id="47"/>
      <w:bookmarkEnd w:id="48"/>
      <w:bookmarkEnd w:id="49"/>
    </w:p>
    <w:p w14:paraId="59740E29" w14:textId="77777777" w:rsidR="003A5F21" w:rsidRPr="00353C2A" w:rsidRDefault="003A5F21" w:rsidP="00777A20">
      <w:pPr>
        <w:spacing w:line="360" w:lineRule="auto"/>
        <w:jc w:val="both"/>
        <w:rPr>
          <w:color w:val="FF0000"/>
          <w:lang w:val="en-GB"/>
        </w:rPr>
      </w:pPr>
      <w:r w:rsidRPr="00353C2A">
        <w:rPr>
          <w:color w:val="FF0000"/>
          <w:lang w:val="en-GB"/>
        </w:rPr>
        <w:t>The pre-trial stage is subdivided into two parts:</w:t>
      </w:r>
      <w:r w:rsidRPr="00353C2A">
        <w:rPr>
          <w:rStyle w:val="Funotenzeichen"/>
          <w:rFonts w:eastAsiaTheme="majorEastAsia"/>
          <w:color w:val="FF0000"/>
          <w:lang w:val="en-GB"/>
        </w:rPr>
        <w:footnoteReference w:id="104"/>
      </w:r>
    </w:p>
    <w:p w14:paraId="5450146F" w14:textId="77777777" w:rsidR="003A5F21" w:rsidRPr="00353C2A" w:rsidRDefault="003A5F21" w:rsidP="00777A20">
      <w:pPr>
        <w:pStyle w:val="Listenabsatz"/>
        <w:numPr>
          <w:ilvl w:val="0"/>
          <w:numId w:val="18"/>
        </w:numPr>
        <w:spacing w:line="360" w:lineRule="auto"/>
        <w:jc w:val="both"/>
        <w:rPr>
          <w:color w:val="FF0000"/>
          <w:lang w:val="en-GB"/>
        </w:rPr>
      </w:pPr>
      <w:r w:rsidRPr="00353C2A">
        <w:rPr>
          <w:color w:val="FF0000"/>
          <w:lang w:val="en-GB"/>
        </w:rPr>
        <w:t xml:space="preserve">substage 1: the national authorities have reasonable grounds for believing that a certain person has committed the offence </w:t>
      </w:r>
      <w:r w:rsidRPr="00353C2A">
        <w:rPr>
          <w:color w:val="FF0000"/>
          <w:u w:val="single"/>
          <w:lang w:val="en-GB"/>
        </w:rPr>
        <w:t>but cannot yet order his arrest and detention on remand under national law</w:t>
      </w:r>
      <w:r w:rsidRPr="00353C2A">
        <w:rPr>
          <w:color w:val="FF0000"/>
          <w:lang w:val="en-GB"/>
        </w:rPr>
        <w:t>.</w:t>
      </w:r>
    </w:p>
    <w:p w14:paraId="1F2CC27D" w14:textId="417BDDF1" w:rsidR="003A5F21" w:rsidRPr="00353C2A" w:rsidRDefault="003A5F21" w:rsidP="00777A20">
      <w:pPr>
        <w:pStyle w:val="Listenabsatz"/>
        <w:numPr>
          <w:ilvl w:val="0"/>
          <w:numId w:val="18"/>
        </w:numPr>
        <w:spacing w:line="360" w:lineRule="auto"/>
        <w:jc w:val="both"/>
        <w:rPr>
          <w:color w:val="FF0000"/>
          <w:lang w:val="en-GB"/>
        </w:rPr>
      </w:pPr>
      <w:r w:rsidRPr="00353C2A">
        <w:rPr>
          <w:color w:val="FF0000"/>
          <w:lang w:val="en-GB"/>
        </w:rPr>
        <w:t xml:space="preserve">substage 2: arrest and detention on remand </w:t>
      </w:r>
      <w:r w:rsidR="00305AD8">
        <w:rPr>
          <w:color w:val="FF0000"/>
          <w:lang w:val="en-GB"/>
        </w:rPr>
        <w:t>are</w:t>
      </w:r>
      <w:r w:rsidRPr="00353C2A">
        <w:rPr>
          <w:color w:val="FF0000"/>
          <w:lang w:val="en-GB"/>
        </w:rPr>
        <w:t xml:space="preserve"> possible under national law.</w:t>
      </w:r>
    </w:p>
    <w:p w14:paraId="132DF8EC" w14:textId="77777777" w:rsidR="003A5F21" w:rsidRPr="00353C2A" w:rsidRDefault="003A5F21" w:rsidP="00777A20">
      <w:pPr>
        <w:spacing w:line="360" w:lineRule="auto"/>
        <w:jc w:val="both"/>
        <w:rPr>
          <w:color w:val="FF0000"/>
          <w:lang w:val="en-GB"/>
        </w:rPr>
      </w:pPr>
    </w:p>
    <w:p w14:paraId="65B34275" w14:textId="77777777" w:rsidR="003A5F21" w:rsidRPr="00353C2A" w:rsidRDefault="003A5F21" w:rsidP="00777A20">
      <w:pPr>
        <w:spacing w:line="360" w:lineRule="auto"/>
        <w:jc w:val="both"/>
        <w:rPr>
          <w:color w:val="FF0000"/>
          <w:lang w:val="en-GB"/>
        </w:rPr>
      </w:pPr>
      <w:r w:rsidRPr="00353C2A">
        <w:rPr>
          <w:color w:val="FF0000"/>
          <w:lang w:val="en-GB"/>
        </w:rPr>
        <w:t>Each of the two substages corresponds to a subsection: section 2.1.1.1 (substage 1) and section 2.1.1.2 (substage 2). Each of those subsections distinguishes between two situations: either the suspect is present in the issuing Member State or he is present in another Member State.</w:t>
      </w:r>
    </w:p>
    <w:p w14:paraId="290982B5" w14:textId="77777777" w:rsidR="003A5F21" w:rsidRDefault="003A5F21" w:rsidP="00777A20">
      <w:pPr>
        <w:spacing w:line="360" w:lineRule="auto"/>
        <w:jc w:val="both"/>
        <w:rPr>
          <w:lang w:val="en-GB"/>
        </w:rPr>
      </w:pPr>
    </w:p>
    <w:p w14:paraId="6CE82B6C" w14:textId="27E465CC" w:rsidR="003A5F21" w:rsidRDefault="003A5F21" w:rsidP="00777A20">
      <w:pPr>
        <w:pStyle w:val="berschrift4"/>
        <w:numPr>
          <w:ilvl w:val="3"/>
          <w:numId w:val="15"/>
        </w:numPr>
        <w:ind w:left="2268" w:hanging="850"/>
        <w:jc w:val="both"/>
        <w:rPr>
          <w:lang w:val="en-GB"/>
        </w:rPr>
      </w:pPr>
      <w:bookmarkStart w:id="50" w:name="_Toc147328921"/>
      <w:bookmarkStart w:id="51" w:name="_Toc147328955"/>
      <w:bookmarkStart w:id="52" w:name="_Toc147329067"/>
      <w:bookmarkStart w:id="53" w:name="_Toc170228497"/>
      <w:r>
        <w:rPr>
          <w:lang w:val="en-GB"/>
        </w:rPr>
        <w:lastRenderedPageBreak/>
        <w:t xml:space="preserve">Substage 1 (no </w:t>
      </w:r>
      <w:r w:rsidRPr="00FF204F">
        <w:rPr>
          <w:lang w:val="en-US"/>
        </w:rPr>
        <w:t>detention</w:t>
      </w:r>
      <w:r>
        <w:rPr>
          <w:lang w:val="en-GB"/>
        </w:rPr>
        <w:t xml:space="preserve"> on remand possible)</w:t>
      </w:r>
      <w:bookmarkEnd w:id="50"/>
      <w:bookmarkEnd w:id="51"/>
      <w:bookmarkEnd w:id="52"/>
      <w:r w:rsidR="007A3DAF">
        <w:rPr>
          <w:rStyle w:val="Funotenzeichen"/>
          <w:lang w:val="en-GB"/>
        </w:rPr>
        <w:footnoteReference w:id="105"/>
      </w:r>
      <w:bookmarkEnd w:id="53"/>
    </w:p>
    <w:p w14:paraId="21D6CDFD" w14:textId="77777777" w:rsidR="00FF204F" w:rsidRPr="00FF204F" w:rsidRDefault="00FF204F" w:rsidP="00777A20">
      <w:pPr>
        <w:pStyle w:val="berschrift5"/>
        <w:ind w:left="2268" w:firstLine="0"/>
        <w:rPr>
          <w:lang w:val="en-GB"/>
        </w:rPr>
      </w:pPr>
      <w:bookmarkStart w:id="54" w:name="_Hlk143768003"/>
      <w:bookmarkStart w:id="55" w:name="_Toc147328956"/>
      <w:bookmarkStart w:id="56" w:name="_Toc147329068"/>
      <w:bookmarkStart w:id="57" w:name="_Toc170228498"/>
      <w:r w:rsidRPr="00FF204F">
        <w:rPr>
          <w:lang w:val="en-GB"/>
        </w:rPr>
        <w:t>Person concerned present in issuing MS</w:t>
      </w:r>
      <w:bookmarkEnd w:id="54"/>
      <w:bookmarkEnd w:id="55"/>
      <w:bookmarkEnd w:id="56"/>
      <w:bookmarkEnd w:id="57"/>
    </w:p>
    <w:p w14:paraId="48A93136" w14:textId="77777777" w:rsidR="00FF204F" w:rsidRPr="00FF204F" w:rsidRDefault="00FF204F" w:rsidP="00777A20">
      <w:pPr>
        <w:pStyle w:val="Listenabsatz"/>
        <w:numPr>
          <w:ilvl w:val="0"/>
          <w:numId w:val="20"/>
        </w:numPr>
        <w:spacing w:line="360" w:lineRule="auto"/>
        <w:ind w:left="2977" w:hanging="142"/>
        <w:jc w:val="both"/>
        <w:rPr>
          <w:lang w:val="fr-FR"/>
        </w:rPr>
      </w:pPr>
      <w:r w:rsidRPr="00FF204F">
        <w:rPr>
          <w:lang w:val="fr-FR"/>
        </w:rPr>
        <w:t xml:space="preserve">FD 2009/829/JHA </w:t>
      </w:r>
      <w:r w:rsidRPr="00FF204F">
        <w:rPr>
          <w:color w:val="FF0000"/>
          <w:lang w:val="fr-FR"/>
        </w:rPr>
        <w:t>(?)</w:t>
      </w:r>
    </w:p>
    <w:p w14:paraId="1DD1B757" w14:textId="77777777" w:rsidR="00FF204F" w:rsidRPr="00FF204F" w:rsidRDefault="00FF204F" w:rsidP="00777A20">
      <w:pPr>
        <w:pStyle w:val="Listenabsatz"/>
        <w:numPr>
          <w:ilvl w:val="0"/>
          <w:numId w:val="20"/>
        </w:numPr>
        <w:spacing w:line="360" w:lineRule="auto"/>
        <w:ind w:left="2977" w:hanging="142"/>
        <w:jc w:val="both"/>
        <w:rPr>
          <w:lang w:val="fr-FR"/>
        </w:rPr>
      </w:pPr>
      <w:r w:rsidRPr="00FF204F">
        <w:rPr>
          <w:lang w:val="fr-FR"/>
        </w:rPr>
        <w:t>Directive 2014/41/EU</w:t>
      </w:r>
    </w:p>
    <w:p w14:paraId="11734C77" w14:textId="77777777" w:rsidR="00FF204F" w:rsidRPr="00FF204F" w:rsidRDefault="00FF204F" w:rsidP="00777A20">
      <w:pPr>
        <w:pStyle w:val="Listenabsatz"/>
        <w:numPr>
          <w:ilvl w:val="0"/>
          <w:numId w:val="20"/>
        </w:numPr>
        <w:spacing w:line="360" w:lineRule="auto"/>
        <w:ind w:left="2977" w:hanging="142"/>
        <w:jc w:val="both"/>
        <w:rPr>
          <w:lang w:val="fr-FR"/>
        </w:rPr>
      </w:pPr>
      <w:r w:rsidRPr="00FF204F">
        <w:rPr>
          <w:lang w:val="fr-FR"/>
        </w:rPr>
        <w:t>EU Convention on Mutual Assistance</w:t>
      </w:r>
    </w:p>
    <w:p w14:paraId="0F492C21" w14:textId="77777777" w:rsidR="00FF204F" w:rsidRPr="00FF204F" w:rsidRDefault="00FF204F" w:rsidP="00777A20">
      <w:pPr>
        <w:pStyle w:val="Listenabsatz"/>
        <w:numPr>
          <w:ilvl w:val="0"/>
          <w:numId w:val="20"/>
        </w:numPr>
        <w:spacing w:line="360" w:lineRule="auto"/>
        <w:ind w:left="2977" w:hanging="142"/>
        <w:jc w:val="both"/>
        <w:rPr>
          <w:lang w:val="en-GB"/>
        </w:rPr>
      </w:pPr>
      <w:r w:rsidRPr="00FF204F">
        <w:rPr>
          <w:lang w:val="en-GB"/>
        </w:rPr>
        <w:t>European Convention on Transfer of Proceedings</w:t>
      </w:r>
      <w:bookmarkStart w:id="58" w:name="_Hlk141701666"/>
      <w:r>
        <w:rPr>
          <w:lang w:val="en-GB"/>
        </w:rPr>
        <w:t xml:space="preserve">/European </w:t>
      </w:r>
      <w:r w:rsidRPr="00FF204F">
        <w:rPr>
          <w:lang w:val="en-GB"/>
        </w:rPr>
        <w:t>Convention on Mutual Assistance in Criminal Matters</w:t>
      </w:r>
      <w:bookmarkEnd w:id="58"/>
    </w:p>
    <w:p w14:paraId="052E98A0" w14:textId="77777777" w:rsidR="00FF204F" w:rsidRPr="00FF204F" w:rsidRDefault="00FF204F" w:rsidP="00777A20">
      <w:pPr>
        <w:pStyle w:val="berschrift5"/>
        <w:ind w:left="2268" w:firstLine="0"/>
        <w:rPr>
          <w:lang w:val="en-GB"/>
        </w:rPr>
      </w:pPr>
      <w:bookmarkStart w:id="59" w:name="_Hlk143768045"/>
      <w:bookmarkStart w:id="60" w:name="_Toc147328957"/>
      <w:bookmarkStart w:id="61" w:name="_Toc147329069"/>
      <w:bookmarkStart w:id="62" w:name="_Toc170228499"/>
      <w:r w:rsidRPr="00FF204F">
        <w:rPr>
          <w:lang w:val="en-GB"/>
        </w:rPr>
        <w:t>Person concerned present in another MS</w:t>
      </w:r>
      <w:bookmarkEnd w:id="59"/>
      <w:bookmarkEnd w:id="60"/>
      <w:bookmarkEnd w:id="61"/>
      <w:bookmarkEnd w:id="62"/>
    </w:p>
    <w:p w14:paraId="67A1F329" w14:textId="77777777" w:rsidR="00FF204F" w:rsidRPr="00FF204F" w:rsidRDefault="00FF204F" w:rsidP="00777A20">
      <w:pPr>
        <w:pStyle w:val="Listenabsatz"/>
        <w:numPr>
          <w:ilvl w:val="0"/>
          <w:numId w:val="21"/>
        </w:numPr>
        <w:spacing w:line="360" w:lineRule="auto"/>
        <w:ind w:left="2977" w:hanging="142"/>
        <w:jc w:val="both"/>
        <w:rPr>
          <w:lang w:val="fr-FR"/>
        </w:rPr>
      </w:pPr>
      <w:bookmarkStart w:id="63" w:name="_Hlk140225969"/>
      <w:r w:rsidRPr="00FF204F">
        <w:rPr>
          <w:lang w:val="fr-FR"/>
        </w:rPr>
        <w:t xml:space="preserve">FD 2009/829/JHA </w:t>
      </w:r>
      <w:r w:rsidRPr="00FF204F">
        <w:rPr>
          <w:color w:val="FF0000"/>
          <w:lang w:val="fr-FR"/>
        </w:rPr>
        <w:t>(?)</w:t>
      </w:r>
    </w:p>
    <w:p w14:paraId="4AFA5F35" w14:textId="77777777" w:rsidR="00FF204F" w:rsidRPr="00FF204F" w:rsidRDefault="00FF204F" w:rsidP="00777A20">
      <w:pPr>
        <w:pStyle w:val="Listenabsatz"/>
        <w:numPr>
          <w:ilvl w:val="0"/>
          <w:numId w:val="21"/>
        </w:numPr>
        <w:spacing w:line="360" w:lineRule="auto"/>
        <w:ind w:left="2977" w:hanging="142"/>
        <w:jc w:val="both"/>
        <w:rPr>
          <w:lang w:val="fr-FR"/>
        </w:rPr>
      </w:pPr>
      <w:r w:rsidRPr="00FF204F">
        <w:rPr>
          <w:lang w:val="fr-FR"/>
        </w:rPr>
        <w:t>DR 2014/41</w:t>
      </w:r>
    </w:p>
    <w:p w14:paraId="02236301" w14:textId="77777777" w:rsidR="00FF204F" w:rsidRPr="00FF204F" w:rsidRDefault="00FF204F" w:rsidP="00777A20">
      <w:pPr>
        <w:pStyle w:val="Listenabsatz"/>
        <w:numPr>
          <w:ilvl w:val="0"/>
          <w:numId w:val="21"/>
        </w:numPr>
        <w:spacing w:line="360" w:lineRule="auto"/>
        <w:ind w:left="2977" w:hanging="142"/>
        <w:jc w:val="both"/>
        <w:rPr>
          <w:lang w:val="fr-FR"/>
        </w:rPr>
      </w:pPr>
      <w:r w:rsidRPr="00FF204F">
        <w:rPr>
          <w:lang w:val="fr-FR"/>
        </w:rPr>
        <w:t>EU Convention on Mutual Assistance</w:t>
      </w:r>
    </w:p>
    <w:p w14:paraId="2299BC50" w14:textId="77777777" w:rsidR="00FF204F" w:rsidRDefault="00FF204F" w:rsidP="00777A20">
      <w:pPr>
        <w:pStyle w:val="Listenabsatz"/>
        <w:numPr>
          <w:ilvl w:val="0"/>
          <w:numId w:val="21"/>
        </w:numPr>
        <w:spacing w:line="360" w:lineRule="auto"/>
        <w:ind w:left="2977" w:hanging="142"/>
        <w:jc w:val="both"/>
        <w:rPr>
          <w:lang w:val="en-GB"/>
        </w:rPr>
      </w:pPr>
      <w:r w:rsidRPr="00FF204F">
        <w:rPr>
          <w:lang w:val="en-GB"/>
        </w:rPr>
        <w:t>European Convention on Transfer of Proceedings/European Convention on Mutual Assistance in Criminal Matter</w:t>
      </w:r>
      <w:bookmarkStart w:id="64" w:name="_Hlk141348697"/>
      <w:r w:rsidRPr="00FF204F">
        <w:rPr>
          <w:lang w:val="en-GB"/>
        </w:rPr>
        <w:t>s</w:t>
      </w:r>
      <w:r>
        <w:rPr>
          <w:lang w:val="en-GB"/>
        </w:rPr>
        <w:t>.</w:t>
      </w:r>
    </w:p>
    <w:p w14:paraId="7ED9FD36" w14:textId="77777777" w:rsidR="00FF204F" w:rsidRPr="00FF204F" w:rsidRDefault="00FF204F" w:rsidP="00777A20">
      <w:pPr>
        <w:spacing w:line="360" w:lineRule="auto"/>
        <w:jc w:val="both"/>
        <w:rPr>
          <w:lang w:val="en-GB"/>
        </w:rPr>
      </w:pPr>
    </w:p>
    <w:p w14:paraId="0BD401A6" w14:textId="2118AE17" w:rsidR="00FF204F" w:rsidRPr="00353C2A" w:rsidRDefault="00FF204F" w:rsidP="00777A20">
      <w:pPr>
        <w:spacing w:line="360" w:lineRule="auto"/>
        <w:jc w:val="both"/>
        <w:rPr>
          <w:color w:val="FF0000"/>
          <w:lang w:val="en-GB"/>
        </w:rPr>
      </w:pPr>
      <w:r w:rsidRPr="00353C2A">
        <w:rPr>
          <w:color w:val="FF0000"/>
          <w:lang w:val="en-GB"/>
        </w:rPr>
        <w:t xml:space="preserve">FD 2009/829/JHA seems to require that detention on remand is possible as a precondition to issuing an ESO. After all, ESO is ‘an alternative to provisional detention’ (Art. 1). Is it possible </w:t>
      </w:r>
      <w:r w:rsidRPr="00353C2A">
        <w:rPr>
          <w:color w:val="FF0000"/>
          <w:u w:val="single"/>
          <w:lang w:val="en-GB"/>
        </w:rPr>
        <w:t>under EU law</w:t>
      </w:r>
      <w:r w:rsidRPr="00353C2A">
        <w:rPr>
          <w:color w:val="FF0000"/>
          <w:lang w:val="en-GB"/>
        </w:rPr>
        <w:t xml:space="preserve"> to issue an ESO, if detention on remand </w:t>
      </w:r>
      <w:r w:rsidR="000B482A">
        <w:rPr>
          <w:color w:val="FF0000"/>
          <w:lang w:val="en-GB"/>
        </w:rPr>
        <w:t xml:space="preserve">itself </w:t>
      </w:r>
      <w:r w:rsidRPr="00353C2A">
        <w:rPr>
          <w:color w:val="FF0000"/>
          <w:lang w:val="en-GB"/>
        </w:rPr>
        <w:t xml:space="preserve">is not possible?     </w:t>
      </w:r>
    </w:p>
    <w:bookmarkEnd w:id="64"/>
    <w:p w14:paraId="5F4FE8B0" w14:textId="77777777" w:rsidR="00FF204F" w:rsidRDefault="00FF204F" w:rsidP="00777A20">
      <w:pPr>
        <w:spacing w:line="360" w:lineRule="auto"/>
        <w:jc w:val="both"/>
        <w:rPr>
          <w:color w:val="FF0000"/>
          <w:lang w:val="en-GB"/>
        </w:rPr>
      </w:pPr>
      <w:r w:rsidRPr="00353C2A">
        <w:rPr>
          <w:color w:val="FF0000"/>
          <w:lang w:val="en-GB"/>
        </w:rPr>
        <w:t>Although an EAW, in general, can be issued in the pre-trial stage, it is not mentioned here, because in substage 1 it is not possible to order detention on remand</w:t>
      </w:r>
      <w:r>
        <w:rPr>
          <w:color w:val="FF0000"/>
          <w:lang w:val="en-GB"/>
        </w:rPr>
        <w:t>.</w:t>
      </w:r>
    </w:p>
    <w:p w14:paraId="1B4AC3CE" w14:textId="77777777" w:rsidR="00D93A43" w:rsidRDefault="00D93A43" w:rsidP="00777A20">
      <w:pPr>
        <w:spacing w:line="360" w:lineRule="auto"/>
        <w:jc w:val="both"/>
        <w:rPr>
          <w:lang w:val="en-GB"/>
        </w:rPr>
      </w:pPr>
    </w:p>
    <w:p w14:paraId="58BCCFB6" w14:textId="3E5FB702" w:rsidR="002F305E" w:rsidRPr="0033147B" w:rsidRDefault="002F305E" w:rsidP="00777A20">
      <w:pPr>
        <w:spacing w:line="360" w:lineRule="auto"/>
        <w:jc w:val="both"/>
        <w:rPr>
          <w:rStyle w:val="oj-italic"/>
          <w:lang w:val="en-GB"/>
        </w:rPr>
      </w:pPr>
      <w:r>
        <w:rPr>
          <w:lang w:val="en-US"/>
        </w:rPr>
        <w:t>In substage 1 (no detentio</w:t>
      </w:r>
      <w:r w:rsidR="00B5062F">
        <w:rPr>
          <w:lang w:val="en-US"/>
        </w:rPr>
        <w:t>n on remand possible), a</w:t>
      </w:r>
      <w:r w:rsidR="001C67F0">
        <w:rPr>
          <w:lang w:val="en-US"/>
        </w:rPr>
        <w:t>n</w:t>
      </w:r>
      <w:r w:rsidR="00B5062F">
        <w:rPr>
          <w:lang w:val="en-US"/>
        </w:rPr>
        <w:t xml:space="preserve"> ESO is considered as</w:t>
      </w:r>
      <w:r>
        <w:rPr>
          <w:lang w:val="en-US"/>
        </w:rPr>
        <w:t xml:space="preserve"> an alternative to provisional detention (</w:t>
      </w:r>
      <w:r w:rsidR="00B5062F">
        <w:rPr>
          <w:lang w:val="en-US"/>
        </w:rPr>
        <w:t xml:space="preserve">Art. 1 FD 2009/829/JHA) </w:t>
      </w:r>
      <w:r w:rsidR="00B5062F" w:rsidRPr="0033147B">
        <w:rPr>
          <w:lang w:val="en-GB"/>
        </w:rPr>
        <w:t xml:space="preserve">even where, according to the law of the issuing Member State, a provisional detention could not be imposed </w:t>
      </w:r>
      <w:r w:rsidR="00B5062F" w:rsidRPr="0033147B">
        <w:rPr>
          <w:rStyle w:val="oj-italic"/>
          <w:i/>
          <w:lang w:val="en-GB"/>
        </w:rPr>
        <w:t xml:space="preserve">ab initio </w:t>
      </w:r>
      <w:r w:rsidR="00B5062F" w:rsidRPr="0033147B">
        <w:rPr>
          <w:rStyle w:val="oj-italic"/>
          <w:lang w:val="en-GB"/>
        </w:rPr>
        <w:t>(recital (4) FD 2009/829/JHA). Thus, according to EU law, a</w:t>
      </w:r>
      <w:r w:rsidR="001C67F0">
        <w:rPr>
          <w:rStyle w:val="oj-italic"/>
          <w:lang w:val="en-GB"/>
        </w:rPr>
        <w:t>n</w:t>
      </w:r>
      <w:r w:rsidR="00B5062F" w:rsidRPr="0033147B">
        <w:rPr>
          <w:rStyle w:val="oj-italic"/>
          <w:lang w:val="en-GB"/>
        </w:rPr>
        <w:t xml:space="preserve"> ESO may be issued even if detention on remand cannot be ordered yet.</w:t>
      </w:r>
      <w:r w:rsidR="00B5062F">
        <w:rPr>
          <w:rStyle w:val="Funotenzeichen"/>
        </w:rPr>
        <w:footnoteReference w:id="106"/>
      </w:r>
      <w:r w:rsidR="00B5062F" w:rsidRPr="0033147B">
        <w:rPr>
          <w:rStyle w:val="oj-italic"/>
          <w:lang w:val="en-GB"/>
        </w:rPr>
        <w:t xml:space="preserve"> If the suspect does not comply with the ESO, his detention will be ordered.</w:t>
      </w:r>
      <w:r w:rsidR="00B5062F">
        <w:rPr>
          <w:rStyle w:val="Funotenzeichen"/>
        </w:rPr>
        <w:footnoteReference w:id="107"/>
      </w:r>
      <w:r w:rsidR="008A2BC5" w:rsidRPr="0033147B">
        <w:rPr>
          <w:rStyle w:val="oj-italic"/>
          <w:lang w:val="en-GB"/>
        </w:rPr>
        <w:t xml:space="preserve"> </w:t>
      </w:r>
      <w:r w:rsidR="003528E7" w:rsidRPr="0033147B">
        <w:rPr>
          <w:rStyle w:val="oj-italic"/>
          <w:lang w:val="en-GB"/>
        </w:rPr>
        <w:t>So, EU law allows for a stage model (stage 1: supervision, stage 2: detention order)</w:t>
      </w:r>
      <w:r w:rsidR="006C17C7" w:rsidRPr="0033147B">
        <w:rPr>
          <w:rStyle w:val="oj-italic"/>
          <w:lang w:val="en-GB"/>
        </w:rPr>
        <w:t xml:space="preserve">, </w:t>
      </w:r>
      <w:r w:rsidR="006C17C7" w:rsidRPr="0033147B">
        <w:rPr>
          <w:rStyle w:val="oj-italic"/>
          <w:lang w:val="en-GB"/>
        </w:rPr>
        <w:lastRenderedPageBreak/>
        <w:t>but does not preclude an approach where a supervision order replaces a detention order so that the latter is a precondition to issuing a supervision order (substitution model).</w:t>
      </w:r>
      <w:r w:rsidR="006C17C7">
        <w:rPr>
          <w:rStyle w:val="Funotenzeichen"/>
        </w:rPr>
        <w:footnoteReference w:id="108"/>
      </w:r>
    </w:p>
    <w:p w14:paraId="0BDEAFBD" w14:textId="78FC99FF" w:rsidR="006C17C7" w:rsidRPr="0033147B" w:rsidRDefault="006C17C7" w:rsidP="00777A20">
      <w:pPr>
        <w:spacing w:line="360" w:lineRule="auto"/>
        <w:jc w:val="both"/>
        <w:rPr>
          <w:rStyle w:val="oj-italic"/>
          <w:lang w:val="en-GB"/>
        </w:rPr>
      </w:pPr>
      <w:r w:rsidRPr="0033147B">
        <w:rPr>
          <w:rStyle w:val="oj-italic"/>
          <w:lang w:val="en-GB"/>
        </w:rPr>
        <w:t xml:space="preserve">As far as incoming supervision orders are concerned, the German government </w:t>
      </w:r>
      <w:r w:rsidR="008148D2" w:rsidRPr="0033147B">
        <w:rPr>
          <w:rStyle w:val="oj-italic"/>
          <w:lang w:val="en-GB"/>
        </w:rPr>
        <w:t xml:space="preserve">– like other Member States - </w:t>
      </w:r>
      <w:r w:rsidRPr="0033147B">
        <w:rPr>
          <w:rStyle w:val="oj-italic"/>
          <w:lang w:val="en-GB"/>
        </w:rPr>
        <w:t xml:space="preserve">has filed a declaration under Art. 21(3) FD 2009/829/JHA that it will apply the minimum threshold of Article 2(1) FD 2002/584/JHA </w:t>
      </w:r>
      <w:r w:rsidR="00461602" w:rsidRPr="0033147B">
        <w:rPr>
          <w:rStyle w:val="oj-italic"/>
          <w:lang w:val="en-GB"/>
        </w:rPr>
        <w:t xml:space="preserve">(crime punishable by the law of the issuing Member State by a custodial sentence for a maximum period of at least 12 months) </w:t>
      </w:r>
      <w:r w:rsidRPr="0033147B">
        <w:rPr>
          <w:rStyle w:val="oj-italic"/>
          <w:lang w:val="en-GB"/>
        </w:rPr>
        <w:t xml:space="preserve">in deciding on the surrender of the </w:t>
      </w:r>
      <w:r w:rsidR="00461602" w:rsidRPr="0033147B">
        <w:rPr>
          <w:rStyle w:val="oj-italic"/>
          <w:lang w:val="en-GB"/>
        </w:rPr>
        <w:t xml:space="preserve">supervised </w:t>
      </w:r>
      <w:r w:rsidRPr="0033147B">
        <w:rPr>
          <w:rStyle w:val="oj-italic"/>
          <w:lang w:val="en-GB"/>
        </w:rPr>
        <w:t>person to the issuing State</w:t>
      </w:r>
      <w:r w:rsidR="00461602" w:rsidRPr="0033147B">
        <w:rPr>
          <w:rStyle w:val="oj-italic"/>
          <w:lang w:val="en-GB"/>
        </w:rPr>
        <w:t xml:space="preserve"> where the issuing state has ordered his arrest and detention</w:t>
      </w:r>
      <w:r w:rsidRPr="0033147B">
        <w:rPr>
          <w:rStyle w:val="oj-italic"/>
          <w:lang w:val="en-GB"/>
        </w:rPr>
        <w:t>.</w:t>
      </w:r>
      <w:r>
        <w:rPr>
          <w:rStyle w:val="Funotenzeichen"/>
        </w:rPr>
        <w:footnoteReference w:id="109"/>
      </w:r>
      <w:r w:rsidR="00461602" w:rsidRPr="0033147B">
        <w:rPr>
          <w:rStyle w:val="oj-italic"/>
          <w:lang w:val="en-GB"/>
        </w:rPr>
        <w:t xml:space="preserve"> </w:t>
      </w:r>
      <w:r w:rsidR="008148D2" w:rsidRPr="0033147B">
        <w:rPr>
          <w:rStyle w:val="oj-italic"/>
          <w:lang w:val="en-GB"/>
        </w:rPr>
        <w:t>As a consequence, the issuing MS will not issue a supervision order for crimes below this threshold because the person concerned will not be surrendered if it does not comply wit</w:t>
      </w:r>
      <w:r w:rsidR="007264CD">
        <w:rPr>
          <w:rStyle w:val="oj-italic"/>
          <w:lang w:val="en-US"/>
        </w:rPr>
        <w:t>h</w:t>
      </w:r>
      <w:r w:rsidR="008148D2" w:rsidRPr="0033147B">
        <w:rPr>
          <w:rStyle w:val="oj-italic"/>
          <w:lang w:val="en-GB"/>
        </w:rPr>
        <w:t xml:space="preserve"> the supervision measures; instead, the issuing MS will issue and execute a (national) arrest warrant</w:t>
      </w:r>
      <w:r w:rsidR="005D392D" w:rsidRPr="0033147B">
        <w:rPr>
          <w:rStyle w:val="oj-italic"/>
          <w:lang w:val="en-GB"/>
        </w:rPr>
        <w:t xml:space="preserve"> and, thereby, counteract the objective of FD 2009/829/JHA to enhance the right to liberty and to promote the use of non-custodial measures (recital (4))</w:t>
      </w:r>
      <w:r w:rsidR="008148D2" w:rsidRPr="0033147B">
        <w:rPr>
          <w:rStyle w:val="oj-italic"/>
          <w:lang w:val="en-GB"/>
        </w:rPr>
        <w:t>.</w:t>
      </w:r>
      <w:r w:rsidR="008148D2">
        <w:rPr>
          <w:rStyle w:val="Funotenzeichen"/>
        </w:rPr>
        <w:footnoteReference w:id="110"/>
      </w:r>
      <w:r w:rsidR="000C2CD8" w:rsidRPr="0033147B">
        <w:rPr>
          <w:rStyle w:val="oj-italic"/>
          <w:lang w:val="en-GB"/>
        </w:rPr>
        <w:t xml:space="preserve"> For Germany as the issuing MS, these concerns seem less relevant as a (domestic) arrest warrant is a pre-condition for the issuing of a</w:t>
      </w:r>
      <w:r w:rsidR="001C67F0">
        <w:rPr>
          <w:rStyle w:val="oj-italic"/>
          <w:lang w:val="en-GB"/>
        </w:rPr>
        <w:t>n</w:t>
      </w:r>
      <w:r w:rsidR="000C2CD8" w:rsidRPr="0033147B">
        <w:rPr>
          <w:rStyle w:val="oj-italic"/>
          <w:lang w:val="en-GB"/>
        </w:rPr>
        <w:t xml:space="preserve"> ESO</w:t>
      </w:r>
      <w:r w:rsidR="002E180D" w:rsidRPr="0033147B">
        <w:rPr>
          <w:rStyle w:val="oj-italic"/>
          <w:lang w:val="en-GB"/>
        </w:rPr>
        <w:t xml:space="preserve"> (</w:t>
      </w:r>
      <w:r w:rsidR="002E180D" w:rsidRPr="0033147B">
        <w:rPr>
          <w:rStyle w:val="oj-italic"/>
          <w:i/>
          <w:lang w:val="en-GB"/>
        </w:rPr>
        <w:t xml:space="preserve">infra </w:t>
      </w:r>
      <w:r w:rsidR="002E180D" w:rsidRPr="0033147B">
        <w:rPr>
          <w:rStyle w:val="oj-italic"/>
          <w:lang w:val="en-GB"/>
        </w:rPr>
        <w:t>2.2.1. substage 1).</w:t>
      </w:r>
    </w:p>
    <w:p w14:paraId="71249134" w14:textId="75BF1F19" w:rsidR="004121A0" w:rsidRPr="0033147B" w:rsidRDefault="004121A0" w:rsidP="00777A20">
      <w:pPr>
        <w:spacing w:line="360" w:lineRule="auto"/>
        <w:jc w:val="both"/>
        <w:rPr>
          <w:lang w:val="en-GB"/>
        </w:rPr>
      </w:pPr>
    </w:p>
    <w:p w14:paraId="2E721276" w14:textId="666168E5" w:rsidR="009A0D59" w:rsidRDefault="002E180D" w:rsidP="00777A20">
      <w:pPr>
        <w:spacing w:line="360" w:lineRule="auto"/>
        <w:jc w:val="both"/>
        <w:rPr>
          <w:lang w:val="en-US"/>
        </w:rPr>
      </w:pPr>
      <w:r>
        <w:rPr>
          <w:lang w:val="en-US"/>
        </w:rPr>
        <w:t>According to EU law, t</w:t>
      </w:r>
      <w:r w:rsidR="004121A0">
        <w:rPr>
          <w:lang w:val="en-US"/>
        </w:rPr>
        <w:t>he issuing of a</w:t>
      </w:r>
      <w:r w:rsidR="00460C9F">
        <w:rPr>
          <w:lang w:val="en-US"/>
        </w:rPr>
        <w:t>n</w:t>
      </w:r>
      <w:r w:rsidR="004121A0">
        <w:rPr>
          <w:lang w:val="en-US"/>
        </w:rPr>
        <w:t xml:space="preserve"> EIO (e.g. </w:t>
      </w:r>
      <w:r w:rsidR="00EA0E3C">
        <w:rPr>
          <w:lang w:val="en-US"/>
        </w:rPr>
        <w:t>fo</w:t>
      </w:r>
      <w:r w:rsidR="004121A0">
        <w:rPr>
          <w:lang w:val="en-US"/>
        </w:rPr>
        <w:t>r an interrogation via videoconference) does not require that detention o</w:t>
      </w:r>
      <w:r w:rsidR="001A4ED7">
        <w:rPr>
          <w:lang w:val="en-US"/>
        </w:rPr>
        <w:t>n</w:t>
      </w:r>
      <w:r w:rsidR="004121A0">
        <w:rPr>
          <w:lang w:val="en-US"/>
        </w:rPr>
        <w:t xml:space="preserve"> remand is possible;</w:t>
      </w:r>
      <w:r w:rsidR="00EA0E3C">
        <w:rPr>
          <w:lang w:val="en-US"/>
        </w:rPr>
        <w:t xml:space="preserve"> the same applies to serving a summons to the suspect (Art. 5 EU Convention on Mutual Assistance)</w:t>
      </w:r>
      <w:r w:rsidR="008B4BEB">
        <w:rPr>
          <w:lang w:val="en-US"/>
        </w:rPr>
        <w:t xml:space="preserve"> as there is no threshold for the interrogation of a suspect.</w:t>
      </w:r>
      <w:r w:rsidR="00301F6E">
        <w:rPr>
          <w:lang w:val="en-US"/>
        </w:rPr>
        <w:t xml:space="preserve"> </w:t>
      </w:r>
    </w:p>
    <w:p w14:paraId="40190009" w14:textId="6191B0B4" w:rsidR="004121A0" w:rsidRDefault="00EA0E3C" w:rsidP="00777A20">
      <w:pPr>
        <w:spacing w:line="360" w:lineRule="auto"/>
        <w:jc w:val="both"/>
        <w:rPr>
          <w:lang w:val="en-US"/>
        </w:rPr>
      </w:pPr>
      <w:r>
        <w:rPr>
          <w:lang w:val="en-US"/>
        </w:rPr>
        <w:t>The</w:t>
      </w:r>
      <w:r w:rsidR="008B4BEB">
        <w:rPr>
          <w:lang w:val="en-US"/>
        </w:rPr>
        <w:t xml:space="preserve"> aforementioned</w:t>
      </w:r>
      <w:r>
        <w:rPr>
          <w:lang w:val="en-US"/>
        </w:rPr>
        <w:t xml:space="preserve"> cooperation instruments will be used where the suspect is in another Member State (scenario (b)); if the suspect is present in the issuing Member State (scenario (a)), there is no need for cross-border cooperation.</w:t>
      </w:r>
    </w:p>
    <w:p w14:paraId="6AF1E502" w14:textId="77777777" w:rsidR="004121A0" w:rsidRDefault="004121A0" w:rsidP="00777A20">
      <w:pPr>
        <w:spacing w:line="360" w:lineRule="auto"/>
        <w:jc w:val="both"/>
        <w:rPr>
          <w:lang w:val="en-US"/>
        </w:rPr>
      </w:pPr>
    </w:p>
    <w:p w14:paraId="16E33F89" w14:textId="7B250DB5" w:rsidR="00D93A43" w:rsidRDefault="001A4ED7" w:rsidP="00777A20">
      <w:pPr>
        <w:spacing w:line="360" w:lineRule="auto"/>
        <w:jc w:val="both"/>
        <w:rPr>
          <w:lang w:val="en-US"/>
        </w:rPr>
      </w:pPr>
      <w:r>
        <w:rPr>
          <w:lang w:val="en-US"/>
        </w:rPr>
        <w:t xml:space="preserve">The </w:t>
      </w:r>
      <w:r w:rsidR="005B1436">
        <w:rPr>
          <w:lang w:val="en-US"/>
        </w:rPr>
        <w:t xml:space="preserve">legal basis for the </w:t>
      </w:r>
      <w:r w:rsidR="00FB5AD0">
        <w:rPr>
          <w:lang w:val="en-US"/>
        </w:rPr>
        <w:t xml:space="preserve">transfer </w:t>
      </w:r>
      <w:r>
        <w:rPr>
          <w:lang w:val="en-US"/>
        </w:rPr>
        <w:t xml:space="preserve">of criminal proceedings </w:t>
      </w:r>
      <w:r w:rsidR="005B1436">
        <w:rPr>
          <w:lang w:val="en-US"/>
        </w:rPr>
        <w:t xml:space="preserve">(Art. 21 of the </w:t>
      </w:r>
      <w:r w:rsidR="005B1436">
        <w:rPr>
          <w:lang w:val="en-GB"/>
        </w:rPr>
        <w:t xml:space="preserve">Council of Europe Convention on Mutual Assistance in Criminal Matters) does not specify a threshold or </w:t>
      </w:r>
      <w:r w:rsidR="005B1436">
        <w:rPr>
          <w:lang w:val="en-GB"/>
        </w:rPr>
        <w:lastRenderedPageBreak/>
        <w:t>substantive requirements for outgoing requests. T</w:t>
      </w:r>
      <w:r w:rsidR="00595632">
        <w:rPr>
          <w:lang w:val="en-GB"/>
        </w:rPr>
        <w:t xml:space="preserve">hus, criminal </w:t>
      </w:r>
      <w:r w:rsidR="005B1436">
        <w:rPr>
          <w:lang w:val="en-GB"/>
        </w:rPr>
        <w:t xml:space="preserve">proceedings </w:t>
      </w:r>
      <w:r w:rsidR="00595632">
        <w:rPr>
          <w:lang w:val="en-GB"/>
        </w:rPr>
        <w:t xml:space="preserve">can be transferred </w:t>
      </w:r>
      <w:r>
        <w:rPr>
          <w:lang w:val="en-US"/>
        </w:rPr>
        <w:t>irrespective of whether or not detention on remand is possible</w:t>
      </w:r>
      <w:r w:rsidR="00595632">
        <w:rPr>
          <w:lang w:val="en-US"/>
        </w:rPr>
        <w:t xml:space="preserve"> (or ordered) and whether the suspect is present in the issuing state (Germany) or another Member State</w:t>
      </w:r>
      <w:r>
        <w:rPr>
          <w:lang w:val="en-US"/>
        </w:rPr>
        <w:t xml:space="preserve">. </w:t>
      </w:r>
    </w:p>
    <w:p w14:paraId="72BB4A22" w14:textId="77777777" w:rsidR="00F22A93" w:rsidRPr="008B4BEB" w:rsidRDefault="00F22A93" w:rsidP="00777A20">
      <w:pPr>
        <w:spacing w:line="360" w:lineRule="auto"/>
        <w:jc w:val="both"/>
        <w:rPr>
          <w:lang w:val="en-US"/>
        </w:rPr>
      </w:pPr>
    </w:p>
    <w:p w14:paraId="37DF95B7" w14:textId="77777777" w:rsidR="00FF204F" w:rsidRPr="00353C2A" w:rsidRDefault="00FF204F" w:rsidP="00777A20">
      <w:pPr>
        <w:pStyle w:val="berschrift4"/>
        <w:numPr>
          <w:ilvl w:val="3"/>
          <w:numId w:val="15"/>
        </w:numPr>
        <w:ind w:left="2268" w:hanging="850"/>
        <w:jc w:val="both"/>
        <w:rPr>
          <w:lang w:val="en-GB"/>
        </w:rPr>
      </w:pPr>
      <w:bookmarkStart w:id="65" w:name="_Toc147328922"/>
      <w:bookmarkStart w:id="66" w:name="_Toc147328958"/>
      <w:bookmarkStart w:id="67" w:name="_Toc147329070"/>
      <w:bookmarkStart w:id="68" w:name="_Toc170228500"/>
      <w:bookmarkEnd w:id="63"/>
      <w:r w:rsidRPr="00353C2A">
        <w:rPr>
          <w:lang w:val="en-GB"/>
        </w:rPr>
        <w:t>Substage 2 (detention on remand possible)</w:t>
      </w:r>
      <w:bookmarkEnd w:id="65"/>
      <w:bookmarkEnd w:id="66"/>
      <w:bookmarkEnd w:id="67"/>
      <w:bookmarkEnd w:id="68"/>
    </w:p>
    <w:p w14:paraId="177F599C" w14:textId="77777777" w:rsidR="00FF204F" w:rsidRPr="00047453" w:rsidRDefault="00FF204F" w:rsidP="00777A20">
      <w:pPr>
        <w:pStyle w:val="berschrift5"/>
        <w:numPr>
          <w:ilvl w:val="0"/>
          <w:numId w:val="38"/>
        </w:numPr>
        <w:ind w:left="2268" w:firstLine="0"/>
        <w:rPr>
          <w:lang w:val="en-GB"/>
        </w:rPr>
      </w:pPr>
      <w:bookmarkStart w:id="69" w:name="_Toc147328959"/>
      <w:bookmarkStart w:id="70" w:name="_Toc147329071"/>
      <w:bookmarkStart w:id="71" w:name="_Toc170228501"/>
      <w:bookmarkStart w:id="72" w:name="_Hlk143768072"/>
      <w:r w:rsidRPr="00047453">
        <w:rPr>
          <w:lang w:val="en-GB"/>
        </w:rPr>
        <w:t>Person concerned present in issuing MS</w:t>
      </w:r>
      <w:bookmarkEnd w:id="69"/>
      <w:bookmarkEnd w:id="70"/>
      <w:bookmarkEnd w:id="71"/>
    </w:p>
    <w:p w14:paraId="0B9D7E22" w14:textId="77777777" w:rsidR="00FF204F" w:rsidRPr="00FF204F" w:rsidRDefault="00FF204F" w:rsidP="00777A20">
      <w:pPr>
        <w:pStyle w:val="berschrift6"/>
        <w:ind w:left="3119" w:hanging="284"/>
        <w:rPr>
          <w:lang w:val="en-GB"/>
        </w:rPr>
      </w:pPr>
      <w:bookmarkStart w:id="73" w:name="_Toc147328960"/>
      <w:bookmarkStart w:id="74" w:name="_Toc147329072"/>
      <w:bookmarkStart w:id="75" w:name="_Toc170228502"/>
      <w:r w:rsidRPr="00FF204F">
        <w:rPr>
          <w:lang w:val="en-GB"/>
        </w:rPr>
        <w:t>detention on remand possible but not ordered</w:t>
      </w:r>
      <w:bookmarkEnd w:id="73"/>
      <w:bookmarkEnd w:id="74"/>
      <w:bookmarkEnd w:id="75"/>
    </w:p>
    <w:bookmarkEnd w:id="72"/>
    <w:p w14:paraId="33FC8444" w14:textId="77777777" w:rsidR="00FF204F" w:rsidRPr="00FF204F" w:rsidRDefault="00FF204F" w:rsidP="00777A20">
      <w:pPr>
        <w:pStyle w:val="Listenabsatz"/>
        <w:numPr>
          <w:ilvl w:val="0"/>
          <w:numId w:val="22"/>
        </w:numPr>
        <w:spacing w:line="360" w:lineRule="auto"/>
        <w:ind w:left="3261" w:hanging="142"/>
        <w:jc w:val="both"/>
        <w:rPr>
          <w:lang w:val="fr-FR"/>
        </w:rPr>
      </w:pPr>
      <w:r w:rsidRPr="00FF204F">
        <w:rPr>
          <w:lang w:val="fr-FR"/>
        </w:rPr>
        <w:t xml:space="preserve">FD 2009/829/JHA </w:t>
      </w:r>
      <w:r w:rsidRPr="00FF204F">
        <w:rPr>
          <w:color w:val="FF0000"/>
          <w:lang w:val="fr-FR"/>
        </w:rPr>
        <w:t>(?)</w:t>
      </w:r>
    </w:p>
    <w:p w14:paraId="796AFB18" w14:textId="77777777" w:rsidR="00FF204F" w:rsidRPr="00FF204F" w:rsidRDefault="00FF204F" w:rsidP="00777A20">
      <w:pPr>
        <w:pStyle w:val="Listenabsatz"/>
        <w:numPr>
          <w:ilvl w:val="0"/>
          <w:numId w:val="22"/>
        </w:numPr>
        <w:spacing w:line="360" w:lineRule="auto"/>
        <w:ind w:left="3261" w:hanging="142"/>
        <w:jc w:val="both"/>
        <w:rPr>
          <w:lang w:val="fr-FR"/>
        </w:rPr>
      </w:pPr>
      <w:r w:rsidRPr="00FF204F">
        <w:rPr>
          <w:lang w:val="fr-FR"/>
        </w:rPr>
        <w:t>DR 2014/41</w:t>
      </w:r>
    </w:p>
    <w:p w14:paraId="182FB21F" w14:textId="77777777" w:rsidR="00FF204F" w:rsidRPr="00FF204F" w:rsidRDefault="00FF204F" w:rsidP="00777A20">
      <w:pPr>
        <w:pStyle w:val="Listenabsatz"/>
        <w:numPr>
          <w:ilvl w:val="0"/>
          <w:numId w:val="22"/>
        </w:numPr>
        <w:spacing w:line="360" w:lineRule="auto"/>
        <w:ind w:left="3261" w:hanging="142"/>
        <w:jc w:val="both"/>
        <w:rPr>
          <w:lang w:val="fr-FR"/>
        </w:rPr>
      </w:pPr>
      <w:r w:rsidRPr="00FF204F">
        <w:rPr>
          <w:lang w:val="fr-FR"/>
        </w:rPr>
        <w:t>EU Convention on Mutual Assistance</w:t>
      </w:r>
    </w:p>
    <w:p w14:paraId="78D10009" w14:textId="77777777" w:rsidR="00FF204F" w:rsidRDefault="00FF204F" w:rsidP="00777A20">
      <w:pPr>
        <w:pStyle w:val="Listenabsatz"/>
        <w:numPr>
          <w:ilvl w:val="0"/>
          <w:numId w:val="22"/>
        </w:numPr>
        <w:spacing w:line="360" w:lineRule="auto"/>
        <w:ind w:left="3261" w:hanging="142"/>
        <w:jc w:val="both"/>
        <w:rPr>
          <w:lang w:val="en-GB"/>
        </w:rPr>
      </w:pPr>
      <w:r w:rsidRPr="00FF204F">
        <w:rPr>
          <w:lang w:val="en-GB"/>
        </w:rPr>
        <w:t xml:space="preserve">European Convention on Transfer of Proceedings/European Convention on Mutual </w:t>
      </w:r>
      <w:r>
        <w:rPr>
          <w:lang w:val="en-GB"/>
        </w:rPr>
        <w:t>Assistance in Criminal Matters.</w:t>
      </w:r>
    </w:p>
    <w:p w14:paraId="04FB62FE" w14:textId="77777777" w:rsidR="00FF204F" w:rsidRPr="00FF204F" w:rsidRDefault="00FF204F" w:rsidP="00777A20">
      <w:pPr>
        <w:spacing w:line="360" w:lineRule="auto"/>
        <w:jc w:val="both"/>
        <w:rPr>
          <w:lang w:val="en-GB"/>
        </w:rPr>
      </w:pPr>
    </w:p>
    <w:p w14:paraId="3B11585B" w14:textId="54D9A6F4" w:rsidR="00FF204F" w:rsidRDefault="00FF204F" w:rsidP="00777A20">
      <w:pPr>
        <w:spacing w:line="360" w:lineRule="auto"/>
        <w:jc w:val="both"/>
        <w:rPr>
          <w:color w:val="FF0000"/>
          <w:lang w:val="en-GB"/>
        </w:rPr>
      </w:pPr>
      <w:bookmarkStart w:id="76" w:name="_Hlk141348773"/>
      <w:bookmarkStart w:id="77" w:name="_Hlk147404050"/>
      <w:r w:rsidRPr="00353C2A">
        <w:rPr>
          <w:color w:val="FF0000"/>
          <w:lang w:val="en-GB"/>
        </w:rPr>
        <w:t xml:space="preserve">An ESO is ‘an alternative to provisional detention’ (Art. 1 FD 2009/829/JHA). Does this mean that </w:t>
      </w:r>
      <w:r w:rsidRPr="00353C2A">
        <w:rPr>
          <w:color w:val="FF0000"/>
          <w:u w:val="single"/>
          <w:lang w:val="en-GB"/>
        </w:rPr>
        <w:t>under EU law</w:t>
      </w:r>
      <w:r w:rsidRPr="00353C2A">
        <w:rPr>
          <w:color w:val="FF0000"/>
          <w:lang w:val="en-GB"/>
        </w:rPr>
        <w:t xml:space="preserve"> detention on remand must be ordered as a precondition to issuing an ESO</w:t>
      </w:r>
      <w:r w:rsidR="000B482A">
        <w:rPr>
          <w:color w:val="FF0000"/>
          <w:lang w:val="en-GB"/>
        </w:rPr>
        <w:t xml:space="preserve"> subsequently</w:t>
      </w:r>
      <w:r w:rsidRPr="00353C2A">
        <w:rPr>
          <w:color w:val="FF0000"/>
          <w:lang w:val="en-GB"/>
        </w:rPr>
        <w:t>?</w:t>
      </w:r>
      <w:bookmarkEnd w:id="76"/>
    </w:p>
    <w:bookmarkEnd w:id="77"/>
    <w:p w14:paraId="2B8AF272" w14:textId="75CBEC8F" w:rsidR="00F22A93" w:rsidRDefault="00CE65AA" w:rsidP="00777A20">
      <w:pPr>
        <w:spacing w:line="360" w:lineRule="auto"/>
        <w:jc w:val="both"/>
        <w:rPr>
          <w:lang w:val="en-GB"/>
        </w:rPr>
      </w:pPr>
      <w:r>
        <w:rPr>
          <w:lang w:val="en-GB"/>
        </w:rPr>
        <w:t xml:space="preserve">EU law prescribes that the issuing authority must be able to order supervision measures as an alternative to provisional detention; </w:t>
      </w:r>
      <w:r w:rsidR="00F22A93">
        <w:rPr>
          <w:lang w:val="en-GB"/>
        </w:rPr>
        <w:t xml:space="preserve">it </w:t>
      </w:r>
      <w:r>
        <w:rPr>
          <w:lang w:val="en-GB"/>
        </w:rPr>
        <w:t xml:space="preserve">depends upon </w:t>
      </w:r>
      <w:r w:rsidR="00F22A93">
        <w:rPr>
          <w:lang w:val="en-GB"/>
        </w:rPr>
        <w:t>the Member State’s criminal justice system</w:t>
      </w:r>
      <w:r>
        <w:rPr>
          <w:lang w:val="en-GB"/>
        </w:rPr>
        <w:t xml:space="preserve"> whether such alternatives must be considered before an arrest</w:t>
      </w:r>
      <w:r w:rsidR="00F22A93">
        <w:rPr>
          <w:lang w:val="en-GB"/>
        </w:rPr>
        <w:t xml:space="preserve"> warrant is issued or before such a warrant </w:t>
      </w:r>
      <w:r w:rsidR="00493273">
        <w:rPr>
          <w:lang w:val="en-GB"/>
        </w:rPr>
        <w:t xml:space="preserve">– that has been issued – </w:t>
      </w:r>
      <w:r w:rsidR="00F22A93">
        <w:rPr>
          <w:lang w:val="en-GB"/>
        </w:rPr>
        <w:t>is</w:t>
      </w:r>
      <w:r>
        <w:rPr>
          <w:lang w:val="en-GB"/>
        </w:rPr>
        <w:t xml:space="preserve"> execut</w:t>
      </w:r>
      <w:r w:rsidR="00F22A93">
        <w:rPr>
          <w:lang w:val="en-GB"/>
        </w:rPr>
        <w:t>ed</w:t>
      </w:r>
      <w:r>
        <w:rPr>
          <w:lang w:val="en-GB"/>
        </w:rPr>
        <w:t>.</w:t>
      </w:r>
      <w:r w:rsidR="00F22A93">
        <w:rPr>
          <w:lang w:val="en-GB"/>
        </w:rPr>
        <w:t xml:space="preserve"> Germany</w:t>
      </w:r>
      <w:r w:rsidR="00493273">
        <w:rPr>
          <w:lang w:val="en-GB"/>
        </w:rPr>
        <w:t xml:space="preserve"> has chosen the latter option</w:t>
      </w:r>
      <w:r w:rsidR="002E180D">
        <w:rPr>
          <w:lang w:val="en-GB"/>
        </w:rPr>
        <w:t xml:space="preserve"> (</w:t>
      </w:r>
      <w:r w:rsidR="002E180D">
        <w:rPr>
          <w:i/>
          <w:lang w:val="en-GB"/>
        </w:rPr>
        <w:t xml:space="preserve">infra </w:t>
      </w:r>
      <w:r w:rsidR="002E180D">
        <w:rPr>
          <w:lang w:val="en-GB"/>
        </w:rPr>
        <w:t>2.2.1. substage 1).</w:t>
      </w:r>
    </w:p>
    <w:p w14:paraId="237769BC" w14:textId="32DB0541" w:rsidR="00FF204F" w:rsidRDefault="006C7504" w:rsidP="00777A20">
      <w:pPr>
        <w:spacing w:line="360" w:lineRule="auto"/>
        <w:jc w:val="both"/>
        <w:rPr>
          <w:lang w:val="en-GB"/>
        </w:rPr>
      </w:pPr>
      <w:r>
        <w:rPr>
          <w:lang w:val="en-GB"/>
        </w:rPr>
        <w:t>As has been mentioned before (</w:t>
      </w:r>
      <w:r>
        <w:rPr>
          <w:i/>
          <w:lang w:val="en-GB"/>
        </w:rPr>
        <w:t xml:space="preserve">supra </w:t>
      </w:r>
      <w:r>
        <w:rPr>
          <w:lang w:val="en-GB"/>
        </w:rPr>
        <w:t>2.1.1.1.),</w:t>
      </w:r>
      <w:r w:rsidR="00F22A93">
        <w:rPr>
          <w:lang w:val="en-GB"/>
        </w:rPr>
        <w:t xml:space="preserve"> there is no need for </w:t>
      </w:r>
      <w:r>
        <w:rPr>
          <w:lang w:val="en-GB"/>
        </w:rPr>
        <w:t xml:space="preserve">transnational </w:t>
      </w:r>
      <w:r w:rsidR="00F22A93">
        <w:rPr>
          <w:lang w:val="en-GB"/>
        </w:rPr>
        <w:t>c</w:t>
      </w:r>
      <w:r>
        <w:rPr>
          <w:lang w:val="en-GB"/>
        </w:rPr>
        <w:t>ooperation instruments for an interrogation (temporary transfer, videoconference, summons) if the accused person is present in the issuing Member State whereas transfer of criminal proceedings is also possible if the accused person is in the issuing (requesting) Member State.</w:t>
      </w:r>
    </w:p>
    <w:p w14:paraId="37704978" w14:textId="77777777" w:rsidR="00CE65AA" w:rsidRPr="00CE65AA" w:rsidRDefault="00CE65AA" w:rsidP="00777A20">
      <w:pPr>
        <w:spacing w:line="360" w:lineRule="auto"/>
        <w:jc w:val="both"/>
        <w:rPr>
          <w:lang w:val="en-GB"/>
        </w:rPr>
      </w:pPr>
    </w:p>
    <w:p w14:paraId="668B81C0" w14:textId="77777777" w:rsidR="00FF204F" w:rsidRPr="00FF204F" w:rsidRDefault="00FF204F" w:rsidP="00777A20">
      <w:pPr>
        <w:pStyle w:val="berschrift6"/>
        <w:ind w:left="3119" w:hanging="284"/>
        <w:rPr>
          <w:lang w:val="en-GB"/>
        </w:rPr>
      </w:pPr>
      <w:bookmarkStart w:id="78" w:name="_Hlk143768113"/>
      <w:bookmarkStart w:id="79" w:name="_Toc147328961"/>
      <w:bookmarkStart w:id="80" w:name="_Toc147329073"/>
      <w:bookmarkStart w:id="81" w:name="_Toc170228503"/>
      <w:r w:rsidRPr="00FF204F">
        <w:rPr>
          <w:lang w:val="en-GB"/>
        </w:rPr>
        <w:t>person in detention on remand</w:t>
      </w:r>
      <w:bookmarkEnd w:id="78"/>
      <w:bookmarkEnd w:id="79"/>
      <w:bookmarkEnd w:id="80"/>
      <w:bookmarkEnd w:id="81"/>
    </w:p>
    <w:p w14:paraId="10FD85E2" w14:textId="77777777" w:rsidR="00FF204F" w:rsidRPr="00FF204F" w:rsidRDefault="00FF204F" w:rsidP="00777A20">
      <w:pPr>
        <w:pStyle w:val="Listenabsatz"/>
        <w:numPr>
          <w:ilvl w:val="0"/>
          <w:numId w:val="23"/>
        </w:numPr>
        <w:spacing w:line="360" w:lineRule="auto"/>
        <w:ind w:left="3261" w:hanging="142"/>
        <w:jc w:val="both"/>
        <w:rPr>
          <w:lang w:val="fr-FR"/>
        </w:rPr>
      </w:pPr>
      <w:bookmarkStart w:id="82" w:name="_Hlk140226106"/>
      <w:r w:rsidRPr="00FF204F">
        <w:rPr>
          <w:lang w:val="fr-FR"/>
        </w:rPr>
        <w:t>FD 2009/829/JHA</w:t>
      </w:r>
    </w:p>
    <w:p w14:paraId="6905EE7D" w14:textId="77777777" w:rsidR="00FF204F" w:rsidRPr="00FF204F" w:rsidRDefault="00FF204F" w:rsidP="00777A20">
      <w:pPr>
        <w:pStyle w:val="Listenabsatz"/>
        <w:numPr>
          <w:ilvl w:val="0"/>
          <w:numId w:val="23"/>
        </w:numPr>
        <w:spacing w:line="360" w:lineRule="auto"/>
        <w:ind w:left="3261" w:hanging="142"/>
        <w:jc w:val="both"/>
        <w:rPr>
          <w:lang w:val="fr-FR"/>
        </w:rPr>
      </w:pPr>
      <w:r w:rsidRPr="00FF204F">
        <w:rPr>
          <w:lang w:val="fr-FR"/>
        </w:rPr>
        <w:t>DR 2014/41</w:t>
      </w:r>
    </w:p>
    <w:p w14:paraId="239B24E0" w14:textId="77777777" w:rsidR="00FF204F" w:rsidRPr="00FF204F" w:rsidRDefault="00FF204F" w:rsidP="00777A20">
      <w:pPr>
        <w:pStyle w:val="Listenabsatz"/>
        <w:numPr>
          <w:ilvl w:val="0"/>
          <w:numId w:val="23"/>
        </w:numPr>
        <w:spacing w:line="360" w:lineRule="auto"/>
        <w:ind w:left="3261" w:hanging="142"/>
        <w:jc w:val="both"/>
        <w:rPr>
          <w:lang w:val="fr-FR"/>
        </w:rPr>
      </w:pPr>
      <w:r w:rsidRPr="00FF204F">
        <w:rPr>
          <w:lang w:val="fr-FR"/>
        </w:rPr>
        <w:t>EU Convention on Mutual Assistance</w:t>
      </w:r>
    </w:p>
    <w:p w14:paraId="5EC0D6F7" w14:textId="77777777" w:rsidR="000940BD" w:rsidRDefault="00FF204F" w:rsidP="00777A20">
      <w:pPr>
        <w:pStyle w:val="Listenabsatz"/>
        <w:numPr>
          <w:ilvl w:val="0"/>
          <w:numId w:val="23"/>
        </w:numPr>
        <w:spacing w:line="360" w:lineRule="auto"/>
        <w:ind w:left="3261" w:hanging="142"/>
        <w:jc w:val="both"/>
        <w:rPr>
          <w:lang w:val="en-GB"/>
        </w:rPr>
      </w:pPr>
      <w:r w:rsidRPr="00FF204F">
        <w:rPr>
          <w:lang w:val="en-GB"/>
        </w:rPr>
        <w:t xml:space="preserve">European Convention on Transfer of Proceedings/European Convention on Mutual Assistance in Criminal Matters </w:t>
      </w:r>
    </w:p>
    <w:p w14:paraId="3C516C5A" w14:textId="77777777" w:rsidR="000940BD" w:rsidRDefault="000940BD" w:rsidP="000940BD">
      <w:pPr>
        <w:spacing w:line="360" w:lineRule="auto"/>
        <w:jc w:val="both"/>
        <w:rPr>
          <w:lang w:val="en-GB"/>
        </w:rPr>
      </w:pPr>
    </w:p>
    <w:p w14:paraId="60FC1A78" w14:textId="74DADAE6" w:rsidR="000940BD" w:rsidRPr="00056102" w:rsidRDefault="00056102" w:rsidP="000940BD">
      <w:pPr>
        <w:spacing w:line="360" w:lineRule="auto"/>
        <w:jc w:val="both"/>
        <w:rPr>
          <w:lang w:val="en-US"/>
        </w:rPr>
      </w:pPr>
      <w:r>
        <w:rPr>
          <w:lang w:val="en-GB"/>
        </w:rPr>
        <w:lastRenderedPageBreak/>
        <w:t xml:space="preserve">If the </w:t>
      </w:r>
      <w:r w:rsidRPr="00056102">
        <w:rPr>
          <w:lang w:val="en-US"/>
        </w:rPr>
        <w:t xml:space="preserve">accused person </w:t>
      </w:r>
      <w:r>
        <w:rPr>
          <w:lang w:val="en-US"/>
        </w:rPr>
        <w:t xml:space="preserve">is </w:t>
      </w:r>
      <w:r w:rsidRPr="00056102">
        <w:rPr>
          <w:lang w:val="en-US"/>
        </w:rPr>
        <w:t xml:space="preserve">detained on the </w:t>
      </w:r>
      <w:r>
        <w:rPr>
          <w:lang w:val="en-US"/>
        </w:rPr>
        <w:t>basis of an arrest warrant, the execution of the arrest warrant may be suspended where the purpose of detention can be achieved by supervision measures (section 116 CCP)</w:t>
      </w:r>
      <w:r w:rsidR="002E180D">
        <w:rPr>
          <w:lang w:val="en-US"/>
        </w:rPr>
        <w:t xml:space="preserve"> and the transfer of the execution of such</w:t>
      </w:r>
      <w:r w:rsidR="0074323A">
        <w:rPr>
          <w:lang w:val="en-US"/>
        </w:rPr>
        <w:t xml:space="preserve"> measures (section 90y AICCM)</w:t>
      </w:r>
      <w:r>
        <w:rPr>
          <w:lang w:val="en-US"/>
        </w:rPr>
        <w:t>. As regards the other cooperation instruments, the considerations under i) apply accordingly.</w:t>
      </w:r>
    </w:p>
    <w:p w14:paraId="11E27BB2" w14:textId="0577D391" w:rsidR="00FF204F" w:rsidRPr="00056102" w:rsidRDefault="00FF204F" w:rsidP="000940BD">
      <w:pPr>
        <w:spacing w:line="360" w:lineRule="auto"/>
        <w:jc w:val="both"/>
        <w:rPr>
          <w:lang w:val="en-US"/>
        </w:rPr>
      </w:pPr>
      <w:r w:rsidRPr="00056102">
        <w:rPr>
          <w:lang w:val="en-US"/>
        </w:rPr>
        <w:t xml:space="preserve"> </w:t>
      </w:r>
    </w:p>
    <w:p w14:paraId="38B018BB" w14:textId="77777777" w:rsidR="00FF204F" w:rsidRPr="00FF204F" w:rsidRDefault="00FF204F" w:rsidP="00777A20">
      <w:pPr>
        <w:pStyle w:val="berschrift5"/>
        <w:ind w:left="2268" w:firstLine="0"/>
        <w:rPr>
          <w:lang w:val="en-GB"/>
        </w:rPr>
      </w:pPr>
      <w:bookmarkStart w:id="83" w:name="_Toc147328962"/>
      <w:bookmarkStart w:id="84" w:name="_Toc147329074"/>
      <w:bookmarkStart w:id="85" w:name="_Toc170228504"/>
      <w:bookmarkStart w:id="86" w:name="_Hlk143768159"/>
      <w:bookmarkEnd w:id="82"/>
      <w:r w:rsidRPr="00FF204F">
        <w:rPr>
          <w:lang w:val="en-GB"/>
        </w:rPr>
        <w:t>Person concerned present in another MS</w:t>
      </w:r>
      <w:bookmarkEnd w:id="83"/>
      <w:bookmarkEnd w:id="84"/>
      <w:bookmarkEnd w:id="85"/>
    </w:p>
    <w:p w14:paraId="56B19932" w14:textId="77777777" w:rsidR="00FF204F" w:rsidRPr="00047453" w:rsidRDefault="00FF204F" w:rsidP="00777A20">
      <w:pPr>
        <w:pStyle w:val="berschrift6"/>
        <w:numPr>
          <w:ilvl w:val="0"/>
          <w:numId w:val="40"/>
        </w:numPr>
        <w:ind w:left="3119" w:hanging="284"/>
        <w:rPr>
          <w:lang w:val="en-GB"/>
        </w:rPr>
      </w:pPr>
      <w:bookmarkStart w:id="87" w:name="_Toc147328963"/>
      <w:bookmarkStart w:id="88" w:name="_Toc147329075"/>
      <w:bookmarkStart w:id="89" w:name="_Toc170228505"/>
      <w:r w:rsidRPr="00047453">
        <w:rPr>
          <w:lang w:val="en-GB"/>
        </w:rPr>
        <w:t>detention on remand possible but not ordered</w:t>
      </w:r>
      <w:bookmarkEnd w:id="86"/>
      <w:bookmarkEnd w:id="87"/>
      <w:bookmarkEnd w:id="88"/>
      <w:bookmarkEnd w:id="89"/>
    </w:p>
    <w:p w14:paraId="764EF624" w14:textId="77777777" w:rsidR="00FF204F" w:rsidRPr="00FF204F" w:rsidRDefault="00FF204F" w:rsidP="00777A20">
      <w:pPr>
        <w:pStyle w:val="Listenabsatz"/>
        <w:numPr>
          <w:ilvl w:val="0"/>
          <w:numId w:val="24"/>
        </w:numPr>
        <w:spacing w:line="360" w:lineRule="auto"/>
        <w:ind w:left="3261" w:hanging="142"/>
        <w:jc w:val="both"/>
        <w:rPr>
          <w:lang w:val="fr-FR"/>
        </w:rPr>
      </w:pPr>
      <w:r w:rsidRPr="00FF204F">
        <w:rPr>
          <w:lang w:val="fr-FR"/>
        </w:rPr>
        <w:t xml:space="preserve">FD 2009/829/JHA </w:t>
      </w:r>
      <w:r w:rsidRPr="00FF204F">
        <w:rPr>
          <w:color w:val="FF0000"/>
          <w:lang w:val="fr-FR"/>
        </w:rPr>
        <w:t>(?)</w:t>
      </w:r>
    </w:p>
    <w:p w14:paraId="4E45C142" w14:textId="77777777" w:rsidR="00FF204F" w:rsidRPr="00FF204F" w:rsidRDefault="00FF204F" w:rsidP="00777A20">
      <w:pPr>
        <w:pStyle w:val="Listenabsatz"/>
        <w:numPr>
          <w:ilvl w:val="0"/>
          <w:numId w:val="24"/>
        </w:numPr>
        <w:spacing w:line="360" w:lineRule="auto"/>
        <w:ind w:left="3261" w:hanging="142"/>
        <w:jc w:val="both"/>
        <w:rPr>
          <w:lang w:val="fr-FR"/>
        </w:rPr>
      </w:pPr>
      <w:r w:rsidRPr="00FF204F">
        <w:rPr>
          <w:lang w:val="fr-FR"/>
        </w:rPr>
        <w:t>DR 2014/41</w:t>
      </w:r>
    </w:p>
    <w:p w14:paraId="6513D651" w14:textId="77777777" w:rsidR="00FF204F" w:rsidRPr="00FF204F" w:rsidRDefault="00FF204F" w:rsidP="00777A20">
      <w:pPr>
        <w:pStyle w:val="Listenabsatz"/>
        <w:numPr>
          <w:ilvl w:val="0"/>
          <w:numId w:val="24"/>
        </w:numPr>
        <w:spacing w:line="360" w:lineRule="auto"/>
        <w:ind w:left="3261" w:hanging="142"/>
        <w:jc w:val="both"/>
        <w:rPr>
          <w:lang w:val="fr-FR"/>
        </w:rPr>
      </w:pPr>
      <w:r w:rsidRPr="00FF204F">
        <w:rPr>
          <w:lang w:val="fr-FR"/>
        </w:rPr>
        <w:t>EU Convention on Mutual Assistance</w:t>
      </w:r>
    </w:p>
    <w:p w14:paraId="4511DD5B" w14:textId="77777777" w:rsidR="00FF204F" w:rsidRPr="00FF204F" w:rsidRDefault="00FF204F" w:rsidP="00777A20">
      <w:pPr>
        <w:pStyle w:val="Listenabsatz"/>
        <w:numPr>
          <w:ilvl w:val="0"/>
          <w:numId w:val="24"/>
        </w:numPr>
        <w:spacing w:line="360" w:lineRule="auto"/>
        <w:ind w:left="3261" w:hanging="142"/>
        <w:jc w:val="both"/>
        <w:rPr>
          <w:lang w:val="en-GB"/>
        </w:rPr>
      </w:pPr>
      <w:r w:rsidRPr="00FF204F">
        <w:rPr>
          <w:lang w:val="en-GB"/>
        </w:rPr>
        <w:t xml:space="preserve">European Convention on Transfer of Proceedings/European Convention on Mutual Assistance in Criminal Matters  </w:t>
      </w:r>
    </w:p>
    <w:p w14:paraId="5965D688" w14:textId="77777777" w:rsidR="00FF204F" w:rsidRPr="00FF204F" w:rsidRDefault="00FF204F" w:rsidP="00777A20">
      <w:pPr>
        <w:pStyle w:val="berschrift6"/>
        <w:ind w:left="3119" w:hanging="284"/>
        <w:rPr>
          <w:lang w:val="en-GB"/>
        </w:rPr>
      </w:pPr>
      <w:bookmarkStart w:id="90" w:name="_Toc147328964"/>
      <w:bookmarkStart w:id="91" w:name="_Toc147329076"/>
      <w:bookmarkStart w:id="92" w:name="_Toc170228506"/>
      <w:r w:rsidRPr="00FF204F">
        <w:rPr>
          <w:lang w:val="en-GB"/>
        </w:rPr>
        <w:t>detention on remand ordered</w:t>
      </w:r>
      <w:bookmarkEnd w:id="90"/>
      <w:bookmarkEnd w:id="91"/>
      <w:bookmarkEnd w:id="92"/>
    </w:p>
    <w:p w14:paraId="32E3FD84" w14:textId="77777777" w:rsidR="00FF204F" w:rsidRPr="00FF204F" w:rsidRDefault="00FF204F" w:rsidP="00777A20">
      <w:pPr>
        <w:pStyle w:val="Listenabsatz"/>
        <w:numPr>
          <w:ilvl w:val="0"/>
          <w:numId w:val="25"/>
        </w:numPr>
        <w:spacing w:line="360" w:lineRule="auto"/>
        <w:ind w:left="3261" w:hanging="142"/>
        <w:jc w:val="both"/>
        <w:rPr>
          <w:lang w:val="en-GB"/>
        </w:rPr>
      </w:pPr>
      <w:r w:rsidRPr="00FF204F">
        <w:rPr>
          <w:lang w:val="en-GB"/>
        </w:rPr>
        <w:t xml:space="preserve">FD 2002/584/JHA </w:t>
      </w:r>
      <w:r w:rsidRPr="00FF204F">
        <w:rPr>
          <w:color w:val="FF0000"/>
          <w:lang w:val="en-GB"/>
        </w:rPr>
        <w:t>(?)</w:t>
      </w:r>
    </w:p>
    <w:p w14:paraId="6F81902F" w14:textId="77777777" w:rsidR="00FF204F" w:rsidRPr="00FF204F" w:rsidRDefault="00FF204F" w:rsidP="00777A20">
      <w:pPr>
        <w:pStyle w:val="Listenabsatz"/>
        <w:numPr>
          <w:ilvl w:val="0"/>
          <w:numId w:val="25"/>
        </w:numPr>
        <w:spacing w:line="360" w:lineRule="auto"/>
        <w:ind w:left="3261" w:hanging="142"/>
        <w:jc w:val="both"/>
        <w:rPr>
          <w:lang w:val="fr-FR"/>
        </w:rPr>
      </w:pPr>
      <w:r w:rsidRPr="00FF204F">
        <w:rPr>
          <w:lang w:val="fr-FR"/>
        </w:rPr>
        <w:t xml:space="preserve">FD 2009/829/JHA </w:t>
      </w:r>
      <w:r w:rsidRPr="00FF204F">
        <w:rPr>
          <w:color w:val="FF0000"/>
          <w:lang w:val="fr-FR"/>
        </w:rPr>
        <w:t>(?)</w:t>
      </w:r>
    </w:p>
    <w:p w14:paraId="5885561B" w14:textId="77777777" w:rsidR="00FF204F" w:rsidRPr="00FF204F" w:rsidRDefault="00FF204F" w:rsidP="00777A20">
      <w:pPr>
        <w:pStyle w:val="Listenabsatz"/>
        <w:numPr>
          <w:ilvl w:val="0"/>
          <w:numId w:val="25"/>
        </w:numPr>
        <w:spacing w:line="360" w:lineRule="auto"/>
        <w:ind w:left="3261" w:hanging="142"/>
        <w:jc w:val="both"/>
        <w:rPr>
          <w:lang w:val="fr-FR"/>
        </w:rPr>
      </w:pPr>
      <w:r w:rsidRPr="00FF204F">
        <w:rPr>
          <w:lang w:val="fr-FR"/>
        </w:rPr>
        <w:t>DR 2014/41</w:t>
      </w:r>
    </w:p>
    <w:p w14:paraId="0E452D8B" w14:textId="77777777" w:rsidR="00FF204F" w:rsidRPr="00FF204F" w:rsidRDefault="00FF204F" w:rsidP="00777A20">
      <w:pPr>
        <w:pStyle w:val="Listenabsatz"/>
        <w:numPr>
          <w:ilvl w:val="0"/>
          <w:numId w:val="25"/>
        </w:numPr>
        <w:spacing w:line="360" w:lineRule="auto"/>
        <w:ind w:left="3261" w:hanging="142"/>
        <w:jc w:val="both"/>
        <w:rPr>
          <w:lang w:val="fr-FR"/>
        </w:rPr>
      </w:pPr>
      <w:r w:rsidRPr="00FF204F">
        <w:rPr>
          <w:lang w:val="fr-FR"/>
        </w:rPr>
        <w:t>EU Convention on Mutual Assistance</w:t>
      </w:r>
    </w:p>
    <w:p w14:paraId="0EF0D7E9" w14:textId="77777777" w:rsidR="00FF204F" w:rsidRDefault="00FF204F" w:rsidP="00777A20">
      <w:pPr>
        <w:pStyle w:val="Listenabsatz"/>
        <w:numPr>
          <w:ilvl w:val="0"/>
          <w:numId w:val="25"/>
        </w:numPr>
        <w:spacing w:line="360" w:lineRule="auto"/>
        <w:ind w:left="3261" w:hanging="142"/>
        <w:jc w:val="both"/>
        <w:rPr>
          <w:lang w:val="en-GB"/>
        </w:rPr>
      </w:pPr>
      <w:r w:rsidRPr="00FF204F">
        <w:rPr>
          <w:lang w:val="en-GB"/>
        </w:rPr>
        <w:t xml:space="preserve">European Convention on Transfer of Proceedings/European Convention on Mutual </w:t>
      </w:r>
      <w:r w:rsidR="00AA0269">
        <w:rPr>
          <w:lang w:val="en-GB"/>
        </w:rPr>
        <w:t>Assistance in Criminal Matters.</w:t>
      </w:r>
    </w:p>
    <w:p w14:paraId="4897B1C7" w14:textId="77777777" w:rsidR="00AA0269" w:rsidRPr="00AA0269" w:rsidRDefault="00AA0269" w:rsidP="00777A20">
      <w:pPr>
        <w:spacing w:line="360" w:lineRule="auto"/>
        <w:jc w:val="both"/>
        <w:rPr>
          <w:lang w:val="en-GB"/>
        </w:rPr>
      </w:pPr>
    </w:p>
    <w:p w14:paraId="7E8BF89B" w14:textId="01A0B185" w:rsidR="00FF204F" w:rsidRPr="00353C2A" w:rsidRDefault="00FF204F" w:rsidP="00777A20">
      <w:pPr>
        <w:spacing w:line="360" w:lineRule="auto"/>
        <w:jc w:val="both"/>
        <w:rPr>
          <w:color w:val="FF0000"/>
          <w:lang w:val="en-GB"/>
        </w:rPr>
      </w:pPr>
      <w:bookmarkStart w:id="93" w:name="_Hlk141350445"/>
      <w:r w:rsidRPr="00353C2A">
        <w:rPr>
          <w:color w:val="FF0000"/>
          <w:lang w:val="en-GB"/>
        </w:rPr>
        <w:t>What is the view in your country on whether it</w:t>
      </w:r>
      <w:r w:rsidR="000B482A">
        <w:rPr>
          <w:color w:val="FF0000"/>
          <w:lang w:val="en-GB"/>
        </w:rPr>
        <w:t xml:space="preserve"> </w:t>
      </w:r>
      <w:r w:rsidRPr="00353C2A">
        <w:rPr>
          <w:color w:val="FF0000"/>
          <w:lang w:val="en-GB"/>
        </w:rPr>
        <w:t xml:space="preserve">is possible, </w:t>
      </w:r>
      <w:r w:rsidRPr="00353C2A">
        <w:rPr>
          <w:color w:val="FF0000"/>
          <w:u w:val="single"/>
          <w:lang w:val="en-GB"/>
        </w:rPr>
        <w:t>under EU law</w:t>
      </w:r>
      <w:r w:rsidRPr="00353C2A">
        <w:rPr>
          <w:color w:val="FF0000"/>
          <w:lang w:val="en-GB"/>
        </w:rPr>
        <w:t>,</w:t>
      </w:r>
      <w:r w:rsidR="00320ED7">
        <w:rPr>
          <w:rStyle w:val="Funotenzeichen"/>
          <w:color w:val="FF0000"/>
          <w:lang w:val="en-GB"/>
        </w:rPr>
        <w:footnoteReference w:id="111"/>
      </w:r>
      <w:r w:rsidRPr="00353C2A">
        <w:rPr>
          <w:color w:val="FF0000"/>
          <w:lang w:val="en-GB"/>
        </w:rPr>
        <w:t xml:space="preserve"> to issue a prosecution-EAW with the sole purpose of interrogating the requested person as a suspect/accused?</w:t>
      </w:r>
    </w:p>
    <w:p w14:paraId="5ACD3FED" w14:textId="30B92556" w:rsidR="00FF204F" w:rsidRPr="00353C2A" w:rsidRDefault="00FF204F" w:rsidP="00777A20">
      <w:pPr>
        <w:spacing w:line="360" w:lineRule="auto"/>
        <w:jc w:val="both"/>
        <w:rPr>
          <w:lang w:val="en-GB"/>
        </w:rPr>
      </w:pPr>
      <w:r w:rsidRPr="00353C2A">
        <w:rPr>
          <w:color w:val="FF0000"/>
          <w:lang w:val="en-GB"/>
        </w:rPr>
        <w:t>FD 2009/829/JHA seems to require that the person concerned is present in the issuing MS as a precondition to issuing an ESO</w:t>
      </w:r>
      <w:r w:rsidR="00C601B9">
        <w:rPr>
          <w:color w:val="FF0000"/>
          <w:lang w:val="en-GB"/>
        </w:rPr>
        <w:t xml:space="preserve"> to the MS in which the person concerned is lawfully and ordinarily residing</w:t>
      </w:r>
      <w:r w:rsidRPr="00353C2A">
        <w:rPr>
          <w:color w:val="FF0000"/>
          <w:lang w:val="en-GB"/>
        </w:rPr>
        <w:t xml:space="preserve">. According to Art. 9(1) ‘A decision on supervision measures may be forwarded to the competent authority of the Member State in which the person is lawfully and ordinarily residing, in cases where the person, having been informed about the measures </w:t>
      </w:r>
      <w:r w:rsidRPr="00353C2A">
        <w:rPr>
          <w:color w:val="FF0000"/>
          <w:lang w:val="en-GB"/>
        </w:rPr>
        <w:lastRenderedPageBreak/>
        <w:t xml:space="preserve">concerned, </w:t>
      </w:r>
      <w:r w:rsidRPr="00353C2A">
        <w:rPr>
          <w:color w:val="FF0000"/>
          <w:u w:val="single"/>
          <w:lang w:val="en-GB"/>
        </w:rPr>
        <w:t>consents to return to that State</w:t>
      </w:r>
      <w:r w:rsidRPr="00353C2A">
        <w:rPr>
          <w:color w:val="FF0000"/>
          <w:lang w:val="en-GB"/>
        </w:rPr>
        <w:t xml:space="preserve">’. Is it possible </w:t>
      </w:r>
      <w:r w:rsidRPr="00353C2A">
        <w:rPr>
          <w:color w:val="FF0000"/>
          <w:u w:val="single"/>
          <w:lang w:val="en-GB"/>
        </w:rPr>
        <w:t>under EU law</w:t>
      </w:r>
      <w:r w:rsidRPr="00353C2A">
        <w:rPr>
          <w:color w:val="FF0000"/>
          <w:lang w:val="en-GB"/>
        </w:rPr>
        <w:t xml:space="preserve"> to issue an ESO, if the person concerned </w:t>
      </w:r>
      <w:bookmarkStart w:id="94" w:name="_Hlk147482146"/>
      <w:r w:rsidR="00C601B9">
        <w:rPr>
          <w:color w:val="FF0000"/>
          <w:lang w:val="en-GB"/>
        </w:rPr>
        <w:t>already has returned to that MS</w:t>
      </w:r>
      <w:bookmarkEnd w:id="94"/>
      <w:r w:rsidRPr="00353C2A">
        <w:rPr>
          <w:color w:val="FF0000"/>
          <w:lang w:val="en-GB"/>
        </w:rPr>
        <w:t>?</w:t>
      </w:r>
    </w:p>
    <w:bookmarkEnd w:id="93"/>
    <w:p w14:paraId="0F1A5D6A" w14:textId="77777777" w:rsidR="00FF204F" w:rsidRDefault="00FF204F" w:rsidP="00777A20">
      <w:pPr>
        <w:jc w:val="both"/>
        <w:rPr>
          <w:lang w:val="en-GB"/>
        </w:rPr>
      </w:pPr>
    </w:p>
    <w:p w14:paraId="2A074367" w14:textId="299C1379" w:rsidR="00720F96" w:rsidRPr="00F50BD7" w:rsidRDefault="00F50BD7" w:rsidP="000940BD">
      <w:pPr>
        <w:spacing w:line="360" w:lineRule="auto"/>
        <w:jc w:val="both"/>
        <w:rPr>
          <w:lang w:val="en-US"/>
        </w:rPr>
      </w:pPr>
      <w:r w:rsidRPr="00F50BD7">
        <w:rPr>
          <w:lang w:val="en-US"/>
        </w:rPr>
        <w:t>According to</w:t>
      </w:r>
      <w:r>
        <w:rPr>
          <w:lang w:val="en-US"/>
        </w:rPr>
        <w:t xml:space="preserve"> </w:t>
      </w:r>
      <w:r w:rsidRPr="00F50BD7">
        <w:rPr>
          <w:lang w:val="en-US"/>
        </w:rPr>
        <w:t>the Commission’s H</w:t>
      </w:r>
      <w:r>
        <w:rPr>
          <w:lang w:val="en-US"/>
        </w:rPr>
        <w:t>andbook o</w:t>
      </w:r>
      <w:r w:rsidR="00493273">
        <w:rPr>
          <w:lang w:val="en-US"/>
        </w:rPr>
        <w:t>n the European Arrest Warrant, ‘</w:t>
      </w:r>
      <w:r>
        <w:rPr>
          <w:lang w:val="en-US"/>
        </w:rPr>
        <w:t>the purpose of the EAW is not to transfer persons merely for questioning them</w:t>
      </w:r>
      <w:r w:rsidR="00493273">
        <w:rPr>
          <w:lang w:val="en-US"/>
        </w:rPr>
        <w:t>’</w:t>
      </w:r>
      <w:r w:rsidR="003011A1">
        <w:rPr>
          <w:lang w:val="en-US"/>
        </w:rPr>
        <w:t>,</w:t>
      </w:r>
      <w:r>
        <w:rPr>
          <w:lang w:val="en-US"/>
        </w:rPr>
        <w:t xml:space="preserve"> because for that purpose other cooperation instruments (e.g. the EIO) are available.</w:t>
      </w:r>
      <w:r>
        <w:rPr>
          <w:rStyle w:val="Funotenzeichen"/>
          <w:lang w:val="en-US"/>
        </w:rPr>
        <w:footnoteReference w:id="112"/>
      </w:r>
      <w:r>
        <w:rPr>
          <w:lang w:val="en-US"/>
        </w:rPr>
        <w:t xml:space="preserve"> </w:t>
      </w:r>
      <w:r w:rsidR="008879A3">
        <w:rPr>
          <w:lang w:val="en-US"/>
        </w:rPr>
        <w:t xml:space="preserve">Although the interrogation of the suspect is covered by the scope of the FD EAW (Art. 1(1) – </w:t>
      </w:r>
      <w:r w:rsidR="00885AC3">
        <w:rPr>
          <w:lang w:val="en-US"/>
        </w:rPr>
        <w:t>‘</w:t>
      </w:r>
      <w:r w:rsidR="008879A3">
        <w:rPr>
          <w:lang w:val="en-US"/>
        </w:rPr>
        <w:t>prosecution</w:t>
      </w:r>
      <w:r w:rsidR="00885AC3">
        <w:rPr>
          <w:lang w:val="en-US"/>
        </w:rPr>
        <w:t>’</w:t>
      </w:r>
      <w:r w:rsidR="008879A3">
        <w:rPr>
          <w:lang w:val="en-US"/>
        </w:rPr>
        <w:t>), the issuing of a EAW for that purpose would be in breach with the proportionality principle if a less intrusive means (e.g. interrogation by videoconference, summoning the accused person) were available</w:t>
      </w:r>
      <w:r w:rsidR="003C4192">
        <w:rPr>
          <w:lang w:val="en-US"/>
        </w:rPr>
        <w:t xml:space="preserve"> (see also for the requirement of a domestic arrest warrant </w:t>
      </w:r>
      <w:r w:rsidR="003C4192">
        <w:rPr>
          <w:i/>
          <w:lang w:val="en-US"/>
        </w:rPr>
        <w:t xml:space="preserve">infra </w:t>
      </w:r>
      <w:r w:rsidR="003C4192">
        <w:rPr>
          <w:lang w:val="en-US"/>
        </w:rPr>
        <w:t>2.2.2.)</w:t>
      </w:r>
      <w:r w:rsidR="008879A3">
        <w:rPr>
          <w:lang w:val="en-US"/>
        </w:rPr>
        <w:t>.</w:t>
      </w:r>
      <w:r w:rsidR="008879A3">
        <w:rPr>
          <w:rStyle w:val="Funotenzeichen"/>
          <w:lang w:val="en-US"/>
        </w:rPr>
        <w:footnoteReference w:id="113"/>
      </w:r>
      <w:r w:rsidR="008879A3">
        <w:rPr>
          <w:lang w:val="en-US"/>
        </w:rPr>
        <w:t xml:space="preserve"> </w:t>
      </w:r>
      <w:r w:rsidR="00822011">
        <w:rPr>
          <w:lang w:val="en-US"/>
        </w:rPr>
        <w:t xml:space="preserve"> </w:t>
      </w:r>
    </w:p>
    <w:p w14:paraId="0FDB525B" w14:textId="77777777" w:rsidR="00C40EFA" w:rsidRDefault="00C40EFA" w:rsidP="000940BD">
      <w:pPr>
        <w:spacing w:line="360" w:lineRule="auto"/>
        <w:jc w:val="both"/>
        <w:rPr>
          <w:lang w:val="en-US"/>
        </w:rPr>
      </w:pPr>
    </w:p>
    <w:p w14:paraId="66919D8D" w14:textId="5B57C52B" w:rsidR="0011654C" w:rsidRDefault="00493273" w:rsidP="0011654C">
      <w:pPr>
        <w:spacing w:line="360" w:lineRule="auto"/>
        <w:jc w:val="both"/>
        <w:rPr>
          <w:lang w:val="en-US"/>
        </w:rPr>
      </w:pPr>
      <w:r>
        <w:rPr>
          <w:lang w:val="en-US"/>
        </w:rPr>
        <w:t xml:space="preserve">According to Art. 9(1) </w:t>
      </w:r>
      <w:r w:rsidR="00C40EFA" w:rsidRPr="00C40EFA">
        <w:rPr>
          <w:lang w:val="en-US"/>
        </w:rPr>
        <w:t>FD 2009/829/JHA</w:t>
      </w:r>
      <w:r>
        <w:rPr>
          <w:lang w:val="en-US"/>
        </w:rPr>
        <w:t>,</w:t>
      </w:r>
      <w:r w:rsidR="00C40EFA" w:rsidRPr="00C40EFA">
        <w:rPr>
          <w:lang w:val="en-US"/>
        </w:rPr>
        <w:t xml:space="preserve"> ‘</w:t>
      </w:r>
      <w:r>
        <w:rPr>
          <w:lang w:val="en-US"/>
        </w:rPr>
        <w:t>a</w:t>
      </w:r>
      <w:r w:rsidR="00C40EFA" w:rsidRPr="00C40EFA">
        <w:rPr>
          <w:lang w:val="en-US"/>
        </w:rPr>
        <w:t xml:space="preserve"> decision on supervision measures may be forwarded to the competent authority of the Member State in which the person is lawfully and ordinarily residing, in cases where the person, having been informed about the measures concerned, consents to return to that State. </w:t>
      </w:r>
      <w:r w:rsidR="00437692">
        <w:rPr>
          <w:lang w:val="en-US"/>
        </w:rPr>
        <w:t xml:space="preserve">The </w:t>
      </w:r>
      <w:r w:rsidR="008F733E" w:rsidRPr="008F733E">
        <w:rPr>
          <w:lang w:val="en-US"/>
        </w:rPr>
        <w:t>wording (“</w:t>
      </w:r>
      <w:r w:rsidR="00437692">
        <w:rPr>
          <w:lang w:val="en-US"/>
        </w:rPr>
        <w:t>having been informed</w:t>
      </w:r>
      <w:r w:rsidR="008F733E" w:rsidRPr="008F733E">
        <w:rPr>
          <w:lang w:val="en-US"/>
        </w:rPr>
        <w:t xml:space="preserve">”) </w:t>
      </w:r>
      <w:r w:rsidR="00437692">
        <w:rPr>
          <w:lang w:val="en-US"/>
        </w:rPr>
        <w:t xml:space="preserve">implies that </w:t>
      </w:r>
      <w:r w:rsidR="008F733E" w:rsidRPr="008F733E">
        <w:rPr>
          <w:lang w:val="en-US"/>
        </w:rPr>
        <w:t>only a person who has not yet returned consents to their return. This interpretation</w:t>
      </w:r>
      <w:r w:rsidR="00437692">
        <w:rPr>
          <w:lang w:val="en-US"/>
        </w:rPr>
        <w:t xml:space="preserve"> of</w:t>
      </w:r>
      <w:r w:rsidR="000A0DE1">
        <w:rPr>
          <w:lang w:val="en-US"/>
        </w:rPr>
        <w:t xml:space="preserve"> </w:t>
      </w:r>
      <w:r w:rsidR="00437692">
        <w:rPr>
          <w:lang w:val="en-US"/>
        </w:rPr>
        <w:t>Art. 9(1) FD 2009/829/JHD</w:t>
      </w:r>
      <w:r w:rsidR="008F733E" w:rsidRPr="008F733E">
        <w:rPr>
          <w:lang w:val="en-US"/>
        </w:rPr>
        <w:t xml:space="preserve"> is also supported by its drafting history</w:t>
      </w:r>
      <w:r w:rsidR="00437692">
        <w:rPr>
          <w:lang w:val="en-US"/>
        </w:rPr>
        <w:t xml:space="preserve">, as in the original draft </w:t>
      </w:r>
      <w:r w:rsidR="008F733E" w:rsidRPr="008F733E">
        <w:rPr>
          <w:lang w:val="en-US"/>
        </w:rPr>
        <w:t>(then Article 7(1)), the wording “...has returned or consents to return...” was chosen.</w:t>
      </w:r>
      <w:r w:rsidR="00CC0C70" w:rsidRPr="00CC0C70">
        <w:rPr>
          <w:rStyle w:val="Funotenzeichen"/>
          <w:lang w:val="en-US"/>
        </w:rPr>
        <w:t xml:space="preserve"> </w:t>
      </w:r>
      <w:r w:rsidR="00CC0C70">
        <w:rPr>
          <w:rStyle w:val="Funotenzeichen"/>
          <w:lang w:val="en-US"/>
        </w:rPr>
        <w:footnoteReference w:id="114"/>
      </w:r>
      <w:r w:rsidR="00437692">
        <w:rPr>
          <w:lang w:val="en-US"/>
        </w:rPr>
        <w:t xml:space="preserve"> </w:t>
      </w:r>
      <w:r w:rsidR="002D5D74">
        <w:rPr>
          <w:lang w:val="en-US"/>
        </w:rPr>
        <w:t>Therefore, the scope of FD 2009/829/JHA does not cover the scenario that a</w:t>
      </w:r>
      <w:r w:rsidR="001C67F0">
        <w:rPr>
          <w:lang w:val="en-US"/>
        </w:rPr>
        <w:t>n</w:t>
      </w:r>
      <w:r w:rsidR="002D5D74">
        <w:rPr>
          <w:lang w:val="en-US"/>
        </w:rPr>
        <w:t xml:space="preserve"> ESO is issued </w:t>
      </w:r>
      <w:r w:rsidR="00C40EFA" w:rsidRPr="00C40EFA">
        <w:rPr>
          <w:lang w:val="en-US"/>
        </w:rPr>
        <w:t xml:space="preserve">if the person concerned has </w:t>
      </w:r>
      <w:r w:rsidR="002D5D74">
        <w:rPr>
          <w:lang w:val="en-US"/>
        </w:rPr>
        <w:t>already left the issuing Member State (Germany) and has returned to his home country.</w:t>
      </w:r>
      <w:r w:rsidR="002D5D74">
        <w:rPr>
          <w:rStyle w:val="Funotenzeichen"/>
          <w:lang w:val="en-US"/>
        </w:rPr>
        <w:footnoteReference w:id="115"/>
      </w:r>
      <w:r w:rsidR="002D5D74">
        <w:rPr>
          <w:lang w:val="en-US"/>
        </w:rPr>
        <w:t xml:space="preserve"> The limited scope of the Framework Decision notwithstanding, EU law does not preclude the Member States from </w:t>
      </w:r>
      <w:r w:rsidR="00EF270C">
        <w:rPr>
          <w:lang w:val="en-US"/>
        </w:rPr>
        <w:t>a transposition into domestic law that allows for the issuing of a</w:t>
      </w:r>
      <w:r w:rsidR="001C67F0">
        <w:rPr>
          <w:lang w:val="en-US"/>
        </w:rPr>
        <w:t>n</w:t>
      </w:r>
      <w:r w:rsidR="00EF270C">
        <w:rPr>
          <w:lang w:val="en-US"/>
        </w:rPr>
        <w:t xml:space="preserve"> ESO where the suspect has already returned to another Member State (i.e. the executing Member State). If a</w:t>
      </w:r>
      <w:r w:rsidR="001C67F0">
        <w:rPr>
          <w:lang w:val="en-US"/>
        </w:rPr>
        <w:t>n</w:t>
      </w:r>
      <w:r w:rsidR="00EF270C">
        <w:rPr>
          <w:lang w:val="en-US"/>
        </w:rPr>
        <w:t xml:space="preserve"> ESO could not be issued, the remaining option would be to issue a</w:t>
      </w:r>
      <w:r w:rsidR="00485F18">
        <w:rPr>
          <w:lang w:val="en-US"/>
        </w:rPr>
        <w:t>n</w:t>
      </w:r>
      <w:r w:rsidR="00EF270C">
        <w:rPr>
          <w:lang w:val="en-US"/>
        </w:rPr>
        <w:t xml:space="preserve"> EAW, and this would be disproportionate where the same purpose could be achieved by a less severe means</w:t>
      </w:r>
      <w:r w:rsidR="003C4192">
        <w:rPr>
          <w:lang w:val="en-US"/>
        </w:rPr>
        <w:t>, i.e.</w:t>
      </w:r>
      <w:r w:rsidR="00EF270C">
        <w:rPr>
          <w:lang w:val="en-US"/>
        </w:rPr>
        <w:t xml:space="preserve"> the ESO</w:t>
      </w:r>
      <w:r w:rsidR="003C4192">
        <w:rPr>
          <w:lang w:val="en-US"/>
        </w:rPr>
        <w:t xml:space="preserve"> (see </w:t>
      </w:r>
      <w:r w:rsidR="003C4192">
        <w:rPr>
          <w:i/>
          <w:lang w:val="en-US"/>
        </w:rPr>
        <w:t xml:space="preserve">infra </w:t>
      </w:r>
      <w:r w:rsidR="003C4192">
        <w:rPr>
          <w:lang w:val="en-US"/>
        </w:rPr>
        <w:t>2.2.2.</w:t>
      </w:r>
      <w:r w:rsidR="00EF270C">
        <w:rPr>
          <w:lang w:val="en-US"/>
        </w:rPr>
        <w:t>).</w:t>
      </w:r>
    </w:p>
    <w:p w14:paraId="2E17894A" w14:textId="77777777" w:rsidR="0011654C" w:rsidRDefault="0011654C" w:rsidP="0011654C">
      <w:pPr>
        <w:spacing w:line="360" w:lineRule="auto"/>
        <w:jc w:val="both"/>
        <w:rPr>
          <w:lang w:val="en-US"/>
        </w:rPr>
      </w:pPr>
    </w:p>
    <w:p w14:paraId="2327922F" w14:textId="037FFFC7" w:rsidR="00991768" w:rsidRDefault="00983CD4" w:rsidP="00991768">
      <w:pPr>
        <w:spacing w:line="360" w:lineRule="auto"/>
        <w:jc w:val="both"/>
        <w:rPr>
          <w:lang w:val="en-US"/>
        </w:rPr>
      </w:pPr>
      <w:r>
        <w:rPr>
          <w:lang w:val="en-US"/>
        </w:rPr>
        <w:lastRenderedPageBreak/>
        <w:t>The public prosecutor may issue a</w:t>
      </w:r>
      <w:r w:rsidR="00460C9F">
        <w:rPr>
          <w:lang w:val="en-US"/>
        </w:rPr>
        <w:t>n</w:t>
      </w:r>
      <w:r>
        <w:rPr>
          <w:lang w:val="en-US"/>
        </w:rPr>
        <w:t xml:space="preserve"> EIO in order to examine the accused person via videoconference (Art. 24(1)2 DR 2014/41/EU) or to request his examination by a judicial authority of the executing Member State.</w:t>
      </w:r>
      <w:r w:rsidR="004632B5">
        <w:rPr>
          <w:lang w:val="en-US"/>
        </w:rPr>
        <w:t xml:space="preserve"> In contrast, the transfer of a suspect who is detained in another Member State, cannot be requested by a</w:t>
      </w:r>
      <w:r w:rsidR="00485F18">
        <w:rPr>
          <w:lang w:val="en-US"/>
        </w:rPr>
        <w:t>n</w:t>
      </w:r>
      <w:r w:rsidR="004632B5">
        <w:rPr>
          <w:lang w:val="en-US"/>
        </w:rPr>
        <w:t xml:space="preserve"> EIO because the </w:t>
      </w:r>
      <w:r w:rsidR="003B5D76">
        <w:rPr>
          <w:lang w:val="en-US"/>
        </w:rPr>
        <w:t xml:space="preserve">EAW is the suitable and primary cooperation instrument for the </w:t>
      </w:r>
      <w:r w:rsidR="004632B5">
        <w:rPr>
          <w:lang w:val="en-US"/>
        </w:rPr>
        <w:t>surrender of accused persons</w:t>
      </w:r>
      <w:r w:rsidR="00882403">
        <w:rPr>
          <w:lang w:val="en-US"/>
        </w:rPr>
        <w:t xml:space="preserve"> for the purpose of prosecution (recital (25) DR 2014/41/EU)</w:t>
      </w:r>
      <w:r w:rsidR="0094574E">
        <w:rPr>
          <w:lang w:val="en-US"/>
        </w:rPr>
        <w:t xml:space="preserve">. So, as a matter of principle, </w:t>
      </w:r>
      <w:r w:rsidR="00227732">
        <w:rPr>
          <w:lang w:val="en-US"/>
        </w:rPr>
        <w:t>Art. 22 of DR 2014/41/EU</w:t>
      </w:r>
      <w:r w:rsidR="001C1BDD">
        <w:rPr>
          <w:lang w:val="en-US"/>
        </w:rPr>
        <w:t xml:space="preserve"> allows for an interrogation of the accused person, but temporary </w:t>
      </w:r>
      <w:r w:rsidR="00AC3C6E">
        <w:rPr>
          <w:lang w:val="en-US"/>
        </w:rPr>
        <w:t xml:space="preserve">transfer is </w:t>
      </w:r>
      <w:r w:rsidR="0094574E">
        <w:rPr>
          <w:lang w:val="en-US"/>
        </w:rPr>
        <w:t xml:space="preserve">exclusively governed by </w:t>
      </w:r>
      <w:r w:rsidR="001C1BDD">
        <w:rPr>
          <w:lang w:val="en-US"/>
        </w:rPr>
        <w:t>the provisions on the EAW</w:t>
      </w:r>
      <w:r w:rsidR="003B5D76">
        <w:rPr>
          <w:lang w:val="en-US"/>
        </w:rPr>
        <w:t>.</w:t>
      </w:r>
      <w:r w:rsidR="003B5D76">
        <w:rPr>
          <w:rStyle w:val="Funotenzeichen"/>
          <w:lang w:val="en-US"/>
        </w:rPr>
        <w:footnoteReference w:id="116"/>
      </w:r>
      <w:r w:rsidR="00C127F5">
        <w:rPr>
          <w:lang w:val="en-US"/>
        </w:rPr>
        <w:t xml:space="preserve"> A transfer </w:t>
      </w:r>
      <w:r w:rsidR="00743B79">
        <w:rPr>
          <w:lang w:val="en-US"/>
        </w:rPr>
        <w:t>might</w:t>
      </w:r>
      <w:r w:rsidR="00C127F5">
        <w:rPr>
          <w:lang w:val="en-US"/>
        </w:rPr>
        <w:t xml:space="preserve"> be considered for questioning convicted persons</w:t>
      </w:r>
      <w:r w:rsidR="00743B79">
        <w:rPr>
          <w:lang w:val="en-US"/>
        </w:rPr>
        <w:t xml:space="preserve"> serving their sentence in another Member State</w:t>
      </w:r>
      <w:r w:rsidR="00C127F5">
        <w:rPr>
          <w:lang w:val="en-US"/>
        </w:rPr>
        <w:t>.</w:t>
      </w:r>
      <w:r w:rsidR="00C127F5">
        <w:rPr>
          <w:rStyle w:val="Funotenzeichen"/>
          <w:lang w:val="en-US"/>
        </w:rPr>
        <w:footnoteReference w:id="117"/>
      </w:r>
      <w:r w:rsidR="00C127F5">
        <w:rPr>
          <w:lang w:val="en-US"/>
        </w:rPr>
        <w:t xml:space="preserve"> According</w:t>
      </w:r>
      <w:r w:rsidR="00743B79">
        <w:rPr>
          <w:lang w:val="en-US"/>
        </w:rPr>
        <w:t xml:space="preserve"> to the prevailing opinion, this case is also covered by the EAW that includes the option of conditional </w:t>
      </w:r>
      <w:r w:rsidR="002E180D">
        <w:rPr>
          <w:lang w:val="en-US"/>
        </w:rPr>
        <w:t>and temporary surrender (Art. 18</w:t>
      </w:r>
      <w:r w:rsidR="00743B79">
        <w:rPr>
          <w:lang w:val="en-US"/>
        </w:rPr>
        <w:t>(</w:t>
      </w:r>
      <w:r w:rsidR="002E180D">
        <w:rPr>
          <w:lang w:val="en-US"/>
        </w:rPr>
        <w:t>1</w:t>
      </w:r>
      <w:r w:rsidR="00743B79">
        <w:rPr>
          <w:lang w:val="en-US"/>
        </w:rPr>
        <w:t>)</w:t>
      </w:r>
      <w:r w:rsidR="00D84F46">
        <w:rPr>
          <w:lang w:val="en-US"/>
        </w:rPr>
        <w:t xml:space="preserve"> lit. b</w:t>
      </w:r>
      <w:r w:rsidR="00743B79">
        <w:rPr>
          <w:lang w:val="en-US"/>
        </w:rPr>
        <w:t xml:space="preserve"> FD EAW).</w:t>
      </w:r>
      <w:r w:rsidR="00743B79">
        <w:rPr>
          <w:rStyle w:val="Funotenzeichen"/>
          <w:lang w:val="en-US"/>
        </w:rPr>
        <w:footnoteReference w:id="118"/>
      </w:r>
    </w:p>
    <w:p w14:paraId="2043650A" w14:textId="77777777" w:rsidR="00991768" w:rsidRDefault="00991768" w:rsidP="00991768">
      <w:pPr>
        <w:spacing w:line="360" w:lineRule="auto"/>
        <w:jc w:val="both"/>
        <w:rPr>
          <w:lang w:val="en-US"/>
        </w:rPr>
      </w:pPr>
    </w:p>
    <w:p w14:paraId="35D5873F" w14:textId="401FD537" w:rsidR="003B5D76" w:rsidRPr="003B5D76" w:rsidRDefault="003B5D76" w:rsidP="00991768">
      <w:pPr>
        <w:spacing w:line="360" w:lineRule="auto"/>
        <w:jc w:val="both"/>
        <w:rPr>
          <w:lang w:val="en-US"/>
        </w:rPr>
      </w:pPr>
      <w:r w:rsidRPr="003B5D76">
        <w:rPr>
          <w:lang w:val="en-US"/>
        </w:rPr>
        <w:t xml:space="preserve">As far as the other cooperation instruments </w:t>
      </w:r>
      <w:r>
        <w:rPr>
          <w:lang w:val="en-US"/>
        </w:rPr>
        <w:t xml:space="preserve">(summons, transfer of criminal proceedings) are concerned, the considerations on </w:t>
      </w:r>
      <w:r w:rsidR="00991768">
        <w:rPr>
          <w:lang w:val="en-US"/>
        </w:rPr>
        <w:t>substage 1 apply accordingly.</w:t>
      </w:r>
    </w:p>
    <w:p w14:paraId="6AE6BF43" w14:textId="77777777" w:rsidR="00100EA8" w:rsidRPr="003B5D76" w:rsidRDefault="00100EA8" w:rsidP="00777A20">
      <w:pPr>
        <w:jc w:val="both"/>
        <w:rPr>
          <w:lang w:val="en-US"/>
        </w:rPr>
      </w:pPr>
    </w:p>
    <w:p w14:paraId="017E57B8" w14:textId="77777777" w:rsidR="00AA0269" w:rsidRDefault="00AA0269" w:rsidP="00777A20">
      <w:pPr>
        <w:pStyle w:val="berschrift3"/>
        <w:numPr>
          <w:ilvl w:val="2"/>
          <w:numId w:val="15"/>
        </w:numPr>
        <w:ind w:left="1560" w:hanging="709"/>
        <w:rPr>
          <w:lang w:val="en-GB"/>
        </w:rPr>
      </w:pPr>
      <w:bookmarkStart w:id="96" w:name="_Toc147328923"/>
      <w:bookmarkStart w:id="97" w:name="_Toc147328965"/>
      <w:bookmarkStart w:id="98" w:name="_Toc147329077"/>
      <w:bookmarkStart w:id="99" w:name="_Toc170228507"/>
      <w:r>
        <w:rPr>
          <w:lang w:val="en-GB"/>
        </w:rPr>
        <w:t>Trial Stage</w:t>
      </w:r>
      <w:bookmarkEnd w:id="96"/>
      <w:bookmarkEnd w:id="97"/>
      <w:bookmarkEnd w:id="98"/>
      <w:bookmarkEnd w:id="99"/>
    </w:p>
    <w:p w14:paraId="66F7E7C3" w14:textId="77777777" w:rsidR="00AA0269" w:rsidRPr="00047453" w:rsidRDefault="00AA0269" w:rsidP="00777A20">
      <w:pPr>
        <w:pStyle w:val="berschrift5"/>
        <w:numPr>
          <w:ilvl w:val="0"/>
          <w:numId w:val="41"/>
        </w:numPr>
        <w:ind w:left="2268" w:firstLine="0"/>
        <w:rPr>
          <w:lang w:val="en-GB"/>
        </w:rPr>
      </w:pPr>
      <w:bookmarkStart w:id="100" w:name="_Toc147328966"/>
      <w:bookmarkStart w:id="101" w:name="_Toc147329078"/>
      <w:bookmarkStart w:id="102" w:name="_Toc170228508"/>
      <w:bookmarkStart w:id="103" w:name="_Hlk143768227"/>
      <w:r w:rsidRPr="00047453">
        <w:rPr>
          <w:lang w:val="en-GB"/>
        </w:rPr>
        <w:t>Person concerned present in issuing MS</w:t>
      </w:r>
      <w:bookmarkEnd w:id="100"/>
      <w:bookmarkEnd w:id="101"/>
      <w:bookmarkEnd w:id="102"/>
    </w:p>
    <w:p w14:paraId="4F830D57" w14:textId="77777777" w:rsidR="00AA0269" w:rsidRPr="00047453" w:rsidRDefault="00AA0269" w:rsidP="00777A20">
      <w:pPr>
        <w:pStyle w:val="berschrift6"/>
        <w:numPr>
          <w:ilvl w:val="0"/>
          <w:numId w:val="42"/>
        </w:numPr>
        <w:ind w:left="3119" w:hanging="284"/>
        <w:rPr>
          <w:lang w:val="en-GB"/>
        </w:rPr>
      </w:pPr>
      <w:bookmarkStart w:id="104" w:name="_Toc147328967"/>
      <w:bookmarkStart w:id="105" w:name="_Toc147329079"/>
      <w:bookmarkStart w:id="106" w:name="_Toc170228509"/>
      <w:r w:rsidRPr="00047453">
        <w:rPr>
          <w:lang w:val="en-GB"/>
        </w:rPr>
        <w:t>detention on remand possible</w:t>
      </w:r>
      <w:r w:rsidRPr="00353C2A">
        <w:rPr>
          <w:rStyle w:val="Funotenzeichen"/>
          <w:lang w:val="en-GB"/>
        </w:rPr>
        <w:footnoteReference w:id="119"/>
      </w:r>
      <w:r w:rsidRPr="00047453">
        <w:rPr>
          <w:lang w:val="en-GB"/>
        </w:rPr>
        <w:t xml:space="preserve"> but not ordered</w:t>
      </w:r>
      <w:bookmarkEnd w:id="104"/>
      <w:bookmarkEnd w:id="105"/>
      <w:bookmarkEnd w:id="106"/>
    </w:p>
    <w:bookmarkEnd w:id="103"/>
    <w:p w14:paraId="71A39E51" w14:textId="77777777" w:rsidR="00AA0269" w:rsidRPr="00AA0269" w:rsidRDefault="00AA0269" w:rsidP="00777A20">
      <w:pPr>
        <w:pStyle w:val="Listenabsatz"/>
        <w:numPr>
          <w:ilvl w:val="0"/>
          <w:numId w:val="26"/>
        </w:numPr>
        <w:spacing w:line="360" w:lineRule="auto"/>
        <w:ind w:left="3261" w:hanging="142"/>
        <w:jc w:val="both"/>
        <w:rPr>
          <w:lang w:val="fr-FR"/>
        </w:rPr>
      </w:pPr>
      <w:r w:rsidRPr="00AA0269">
        <w:rPr>
          <w:lang w:val="fr-FR"/>
        </w:rPr>
        <w:t xml:space="preserve">FD 2009/829/JHA </w:t>
      </w:r>
      <w:r w:rsidRPr="00AA0269">
        <w:rPr>
          <w:color w:val="FF0000"/>
          <w:lang w:val="fr-FR"/>
        </w:rPr>
        <w:t>(?)</w:t>
      </w:r>
    </w:p>
    <w:p w14:paraId="2CFD6FDB" w14:textId="77777777" w:rsidR="00AA0269" w:rsidRPr="00AA0269" w:rsidRDefault="00AA0269" w:rsidP="00777A20">
      <w:pPr>
        <w:pStyle w:val="Listenabsatz"/>
        <w:numPr>
          <w:ilvl w:val="0"/>
          <w:numId w:val="26"/>
        </w:numPr>
        <w:spacing w:line="360" w:lineRule="auto"/>
        <w:ind w:left="3261" w:hanging="142"/>
        <w:jc w:val="both"/>
        <w:rPr>
          <w:lang w:val="fr-FR"/>
        </w:rPr>
      </w:pPr>
      <w:r w:rsidRPr="00AA0269">
        <w:rPr>
          <w:lang w:val="fr-FR"/>
        </w:rPr>
        <w:t>DR 2014/41</w:t>
      </w:r>
    </w:p>
    <w:p w14:paraId="11B8E3BA" w14:textId="77777777" w:rsidR="00AA0269" w:rsidRPr="00AA0269" w:rsidRDefault="00AA0269" w:rsidP="00777A20">
      <w:pPr>
        <w:pStyle w:val="Listenabsatz"/>
        <w:numPr>
          <w:ilvl w:val="0"/>
          <w:numId w:val="26"/>
        </w:numPr>
        <w:spacing w:line="360" w:lineRule="auto"/>
        <w:ind w:left="3261" w:hanging="142"/>
        <w:jc w:val="both"/>
        <w:rPr>
          <w:lang w:val="fr-FR"/>
        </w:rPr>
      </w:pPr>
      <w:r w:rsidRPr="00AA0269">
        <w:rPr>
          <w:lang w:val="fr-FR"/>
        </w:rPr>
        <w:t>EU Convention on Mutual Assistance</w:t>
      </w:r>
    </w:p>
    <w:p w14:paraId="7D050EC3" w14:textId="77777777" w:rsidR="00AA0269" w:rsidRDefault="00AA0269" w:rsidP="00777A20">
      <w:pPr>
        <w:pStyle w:val="Listenabsatz"/>
        <w:numPr>
          <w:ilvl w:val="0"/>
          <w:numId w:val="26"/>
        </w:numPr>
        <w:spacing w:line="360" w:lineRule="auto"/>
        <w:ind w:left="3261" w:hanging="142"/>
        <w:jc w:val="both"/>
        <w:rPr>
          <w:lang w:val="en-GB"/>
        </w:rPr>
      </w:pPr>
      <w:r w:rsidRPr="00AA0269">
        <w:rPr>
          <w:lang w:val="en-GB"/>
        </w:rPr>
        <w:t xml:space="preserve">European Convention on Transfer of Proceedings/European Convention on Mutual </w:t>
      </w:r>
      <w:r>
        <w:rPr>
          <w:lang w:val="en-GB"/>
        </w:rPr>
        <w:t>Assistance in Criminal Matters.</w:t>
      </w:r>
    </w:p>
    <w:p w14:paraId="461457E2" w14:textId="77777777" w:rsidR="00AA0269" w:rsidRPr="00AA0269" w:rsidRDefault="00AA0269" w:rsidP="00777A20">
      <w:pPr>
        <w:spacing w:line="360" w:lineRule="auto"/>
        <w:jc w:val="both"/>
        <w:rPr>
          <w:lang w:val="en-GB"/>
        </w:rPr>
      </w:pPr>
    </w:p>
    <w:p w14:paraId="157C5B7C" w14:textId="3CBC2E43" w:rsidR="00AA0269" w:rsidRDefault="00AA0269" w:rsidP="00777A20">
      <w:pPr>
        <w:spacing w:line="360" w:lineRule="auto"/>
        <w:jc w:val="both"/>
        <w:rPr>
          <w:color w:val="FF0000"/>
          <w:lang w:val="en-GB"/>
        </w:rPr>
      </w:pPr>
      <w:r w:rsidRPr="00353C2A">
        <w:rPr>
          <w:color w:val="FF0000"/>
          <w:lang w:val="en-GB"/>
        </w:rPr>
        <w:lastRenderedPageBreak/>
        <w:t xml:space="preserve">An ESO is ‘an alternative to provisional detention’ (Art. 1 FD 2009/829/JHA). Does this mean that, </w:t>
      </w:r>
      <w:r w:rsidRPr="00353C2A">
        <w:rPr>
          <w:color w:val="FF0000"/>
          <w:u w:val="single"/>
          <w:lang w:val="en-GB"/>
        </w:rPr>
        <w:t>under EU law</w:t>
      </w:r>
      <w:r w:rsidRPr="00353C2A">
        <w:rPr>
          <w:color w:val="FF0000"/>
          <w:lang w:val="en-GB"/>
        </w:rPr>
        <w:t>, detention on remand must be ordered as a precondition to issuing an ESO</w:t>
      </w:r>
      <w:r w:rsidR="00C601B9">
        <w:rPr>
          <w:color w:val="FF0000"/>
          <w:lang w:val="en-GB"/>
        </w:rPr>
        <w:t xml:space="preserve"> subsequently</w:t>
      </w:r>
      <w:r w:rsidRPr="00353C2A">
        <w:rPr>
          <w:color w:val="FF0000"/>
          <w:lang w:val="en-GB"/>
        </w:rPr>
        <w:t xml:space="preserve">? </w:t>
      </w:r>
    </w:p>
    <w:p w14:paraId="680C7518" w14:textId="77777777" w:rsidR="00451282" w:rsidRPr="0033147B" w:rsidRDefault="00451282" w:rsidP="00777A20">
      <w:pPr>
        <w:spacing w:line="360" w:lineRule="auto"/>
        <w:jc w:val="both"/>
        <w:rPr>
          <w:rStyle w:val="oj-italic"/>
          <w:lang w:val="en-GB"/>
        </w:rPr>
      </w:pPr>
    </w:p>
    <w:p w14:paraId="0B4A5AAF" w14:textId="338AA753" w:rsidR="000D775C" w:rsidRPr="0033147B" w:rsidRDefault="00451282" w:rsidP="00777A20">
      <w:pPr>
        <w:spacing w:line="360" w:lineRule="auto"/>
        <w:jc w:val="both"/>
        <w:rPr>
          <w:rStyle w:val="oj-italic"/>
          <w:lang w:val="en-GB"/>
        </w:rPr>
      </w:pPr>
      <w:r w:rsidRPr="0033147B">
        <w:rPr>
          <w:rStyle w:val="oj-italic"/>
          <w:lang w:val="en-GB"/>
        </w:rPr>
        <w:t>According to EU law, a</w:t>
      </w:r>
      <w:r w:rsidR="001C67F0">
        <w:rPr>
          <w:rStyle w:val="oj-italic"/>
          <w:lang w:val="en-GB"/>
        </w:rPr>
        <w:t>n</w:t>
      </w:r>
      <w:r w:rsidRPr="0033147B">
        <w:rPr>
          <w:rStyle w:val="oj-italic"/>
          <w:lang w:val="en-GB"/>
        </w:rPr>
        <w:t xml:space="preserve"> ESO may be issued even if detention on remand cannot be ordered yet (</w:t>
      </w:r>
      <w:r w:rsidRPr="0033147B">
        <w:rPr>
          <w:rStyle w:val="oj-italic"/>
          <w:i/>
          <w:lang w:val="en-GB"/>
        </w:rPr>
        <w:t xml:space="preserve">supra </w:t>
      </w:r>
      <w:r w:rsidRPr="0033147B">
        <w:rPr>
          <w:rStyle w:val="oj-italic"/>
          <w:lang w:val="en-GB"/>
        </w:rPr>
        <w:t xml:space="preserve">2.1.1. substage 1; see, however, for the corresponding requirement under German law </w:t>
      </w:r>
      <w:r w:rsidRPr="0033147B">
        <w:rPr>
          <w:rStyle w:val="oj-italic"/>
          <w:i/>
          <w:lang w:val="en-GB"/>
        </w:rPr>
        <w:t xml:space="preserve">infra </w:t>
      </w:r>
      <w:r w:rsidRPr="0033147B">
        <w:rPr>
          <w:rStyle w:val="oj-italic"/>
          <w:lang w:val="en-GB"/>
        </w:rPr>
        <w:t>2.2.1.).</w:t>
      </w:r>
    </w:p>
    <w:p w14:paraId="2C58DC69" w14:textId="77777777" w:rsidR="00451282" w:rsidRPr="000D775C" w:rsidRDefault="00451282" w:rsidP="00777A20">
      <w:pPr>
        <w:spacing w:line="360" w:lineRule="auto"/>
        <w:jc w:val="both"/>
        <w:rPr>
          <w:lang w:val="en-US"/>
        </w:rPr>
      </w:pPr>
    </w:p>
    <w:p w14:paraId="2FD7C0A2" w14:textId="77777777" w:rsidR="00AA0269" w:rsidRPr="00AA0269" w:rsidRDefault="00AA0269" w:rsidP="00777A20">
      <w:pPr>
        <w:pStyle w:val="berschrift6"/>
        <w:ind w:left="3119" w:hanging="284"/>
        <w:rPr>
          <w:lang w:val="en-GB"/>
        </w:rPr>
      </w:pPr>
      <w:bookmarkStart w:id="107" w:name="_Toc147328968"/>
      <w:bookmarkStart w:id="108" w:name="_Toc147329080"/>
      <w:bookmarkStart w:id="109" w:name="_Toc170228510"/>
      <w:bookmarkStart w:id="110" w:name="_Hlk143768260"/>
      <w:r w:rsidRPr="00AA0269">
        <w:rPr>
          <w:lang w:val="en-GB"/>
        </w:rPr>
        <w:t>person concerned in detention on remand</w:t>
      </w:r>
      <w:bookmarkEnd w:id="107"/>
      <w:bookmarkEnd w:id="108"/>
      <w:bookmarkEnd w:id="109"/>
    </w:p>
    <w:bookmarkEnd w:id="110"/>
    <w:p w14:paraId="0305D96D" w14:textId="77777777" w:rsidR="00AA0269" w:rsidRPr="00AA0269" w:rsidRDefault="00AA0269" w:rsidP="00777A20">
      <w:pPr>
        <w:pStyle w:val="Listenabsatz"/>
        <w:numPr>
          <w:ilvl w:val="0"/>
          <w:numId w:val="27"/>
        </w:numPr>
        <w:spacing w:line="360" w:lineRule="auto"/>
        <w:ind w:left="3261" w:hanging="142"/>
        <w:jc w:val="both"/>
        <w:rPr>
          <w:lang w:val="fr-FR"/>
        </w:rPr>
      </w:pPr>
      <w:r w:rsidRPr="00AA0269">
        <w:rPr>
          <w:lang w:val="fr-FR"/>
        </w:rPr>
        <w:t xml:space="preserve">FD 2009/829/JHA </w:t>
      </w:r>
    </w:p>
    <w:p w14:paraId="1272E485" w14:textId="77777777" w:rsidR="00AA0269" w:rsidRPr="00AA0269" w:rsidRDefault="00AA0269" w:rsidP="00777A20">
      <w:pPr>
        <w:pStyle w:val="Listenabsatz"/>
        <w:numPr>
          <w:ilvl w:val="0"/>
          <w:numId w:val="27"/>
        </w:numPr>
        <w:spacing w:line="360" w:lineRule="auto"/>
        <w:ind w:left="3261" w:hanging="142"/>
        <w:jc w:val="both"/>
        <w:rPr>
          <w:lang w:val="fr-FR"/>
        </w:rPr>
      </w:pPr>
      <w:r w:rsidRPr="00AA0269">
        <w:rPr>
          <w:lang w:val="fr-FR"/>
        </w:rPr>
        <w:t>DR 2014/41</w:t>
      </w:r>
    </w:p>
    <w:p w14:paraId="5CB58574" w14:textId="77777777" w:rsidR="00AA0269" w:rsidRPr="00AA0269" w:rsidRDefault="00AA0269" w:rsidP="00777A20">
      <w:pPr>
        <w:pStyle w:val="Listenabsatz"/>
        <w:numPr>
          <w:ilvl w:val="0"/>
          <w:numId w:val="27"/>
        </w:numPr>
        <w:spacing w:line="360" w:lineRule="auto"/>
        <w:ind w:left="3261" w:hanging="142"/>
        <w:jc w:val="both"/>
        <w:rPr>
          <w:lang w:val="fr-FR"/>
        </w:rPr>
      </w:pPr>
      <w:r w:rsidRPr="00AA0269">
        <w:rPr>
          <w:lang w:val="fr-FR"/>
        </w:rPr>
        <w:t>EU Convention on Mutual Assistance</w:t>
      </w:r>
    </w:p>
    <w:p w14:paraId="3ACD9A64" w14:textId="77777777" w:rsidR="00AA0269" w:rsidRDefault="00AA0269" w:rsidP="00777A20">
      <w:pPr>
        <w:pStyle w:val="Listenabsatz"/>
        <w:numPr>
          <w:ilvl w:val="0"/>
          <w:numId w:val="27"/>
        </w:numPr>
        <w:spacing w:line="360" w:lineRule="auto"/>
        <w:ind w:left="3261" w:hanging="142"/>
        <w:jc w:val="both"/>
        <w:rPr>
          <w:lang w:val="en-GB"/>
        </w:rPr>
      </w:pPr>
      <w:r w:rsidRPr="00AA0269">
        <w:rPr>
          <w:lang w:val="en-GB"/>
        </w:rPr>
        <w:t>European Convention on Transfer of Proceedings/European Convention on Mutual Assistance in Criminal Matters</w:t>
      </w:r>
    </w:p>
    <w:p w14:paraId="0560E199" w14:textId="77777777" w:rsidR="00EB58E0" w:rsidRDefault="00EB58E0" w:rsidP="00EB58E0">
      <w:pPr>
        <w:spacing w:line="360" w:lineRule="auto"/>
        <w:jc w:val="both"/>
        <w:rPr>
          <w:lang w:val="en-GB"/>
        </w:rPr>
      </w:pPr>
    </w:p>
    <w:p w14:paraId="15B48EE2" w14:textId="6941F6CA" w:rsidR="00EB58E0" w:rsidRPr="00EB58E0" w:rsidRDefault="00451282" w:rsidP="00121FF1">
      <w:pPr>
        <w:spacing w:line="360" w:lineRule="auto"/>
        <w:jc w:val="both"/>
        <w:rPr>
          <w:lang w:val="en-US"/>
        </w:rPr>
      </w:pPr>
      <w:r>
        <w:rPr>
          <w:lang w:val="en-US"/>
        </w:rPr>
        <w:t xml:space="preserve">If the </w:t>
      </w:r>
      <w:r w:rsidR="00121FF1">
        <w:rPr>
          <w:lang w:val="en-US"/>
        </w:rPr>
        <w:t>accused pe</w:t>
      </w:r>
      <w:r>
        <w:rPr>
          <w:lang w:val="en-US"/>
        </w:rPr>
        <w:t xml:space="preserve">rson is </w:t>
      </w:r>
      <w:r w:rsidR="00121FF1">
        <w:rPr>
          <w:lang w:val="en-US"/>
        </w:rPr>
        <w:t>detained in the issuing Member State (Germany), the competent court may issue a</w:t>
      </w:r>
      <w:r w:rsidR="001C67F0">
        <w:rPr>
          <w:lang w:val="en-US"/>
        </w:rPr>
        <w:t>n</w:t>
      </w:r>
      <w:r w:rsidR="00121FF1">
        <w:rPr>
          <w:lang w:val="en-US"/>
        </w:rPr>
        <w:t xml:space="preserve"> ESO (</w:t>
      </w:r>
      <w:r w:rsidR="00121FF1">
        <w:rPr>
          <w:i/>
          <w:lang w:val="en-US"/>
        </w:rPr>
        <w:t xml:space="preserve">supra </w:t>
      </w:r>
      <w:r w:rsidR="00121FF1">
        <w:rPr>
          <w:lang w:val="en-US"/>
        </w:rPr>
        <w:t xml:space="preserve">2.1.1. substage 2). In this case, the accused person is </w:t>
      </w:r>
      <w:r w:rsidR="00EB58E0" w:rsidRPr="00EB58E0">
        <w:rPr>
          <w:lang w:val="en-US"/>
        </w:rPr>
        <w:t>present in the issuing Member State, recourse to the EIO and the EU Convention on Mutual Assistance is not necessary (</w:t>
      </w:r>
      <w:r w:rsidR="00EB58E0" w:rsidRPr="00EB58E0">
        <w:rPr>
          <w:i/>
          <w:lang w:val="en-US"/>
        </w:rPr>
        <w:t xml:space="preserve">supra </w:t>
      </w:r>
      <w:r w:rsidR="00EB58E0" w:rsidRPr="00EB58E0">
        <w:rPr>
          <w:lang w:val="en-US"/>
        </w:rPr>
        <w:t>2.1.1.).</w:t>
      </w:r>
    </w:p>
    <w:p w14:paraId="4ADA3A29" w14:textId="2800A980" w:rsidR="00EB58E0" w:rsidRPr="00EB58E0" w:rsidRDefault="00EB58E0" w:rsidP="00EB58E0">
      <w:pPr>
        <w:spacing w:line="360" w:lineRule="auto"/>
        <w:jc w:val="both"/>
        <w:rPr>
          <w:lang w:val="en-US"/>
        </w:rPr>
      </w:pPr>
      <w:r w:rsidRPr="00EB58E0">
        <w:rPr>
          <w:lang w:val="en-US"/>
        </w:rPr>
        <w:t xml:space="preserve">Art. 21 of the Council of Europe Convention on Mutual Legal Assistance does not preclude a transfer of proceedings in the trial phase. </w:t>
      </w:r>
    </w:p>
    <w:p w14:paraId="1C18A175" w14:textId="77777777" w:rsidR="004930AD" w:rsidRPr="00EB58E0" w:rsidRDefault="004930AD" w:rsidP="004930AD">
      <w:pPr>
        <w:spacing w:line="360" w:lineRule="auto"/>
        <w:jc w:val="both"/>
        <w:rPr>
          <w:lang w:val="en-US"/>
        </w:rPr>
      </w:pPr>
    </w:p>
    <w:p w14:paraId="7CA8D3B4" w14:textId="77777777" w:rsidR="00AA0269" w:rsidRPr="00AA0269" w:rsidRDefault="00AA0269" w:rsidP="00777A20">
      <w:pPr>
        <w:pStyle w:val="berschrift5"/>
        <w:ind w:left="2268" w:firstLine="0"/>
        <w:rPr>
          <w:lang w:val="en-GB"/>
        </w:rPr>
      </w:pPr>
      <w:bookmarkStart w:id="111" w:name="_Toc147328969"/>
      <w:bookmarkStart w:id="112" w:name="_Toc147329081"/>
      <w:bookmarkStart w:id="113" w:name="_Toc170228511"/>
      <w:bookmarkStart w:id="114" w:name="_Hlk143768289"/>
      <w:r w:rsidRPr="00AA0269">
        <w:rPr>
          <w:lang w:val="en-GB"/>
        </w:rPr>
        <w:t>Person concerned is present in another MS</w:t>
      </w:r>
      <w:bookmarkEnd w:id="111"/>
      <w:bookmarkEnd w:id="112"/>
      <w:bookmarkEnd w:id="113"/>
    </w:p>
    <w:p w14:paraId="73CE9760" w14:textId="77777777" w:rsidR="00AA0269" w:rsidRPr="00047453" w:rsidRDefault="00AA0269" w:rsidP="00777A20">
      <w:pPr>
        <w:pStyle w:val="berschrift6"/>
        <w:numPr>
          <w:ilvl w:val="0"/>
          <w:numId w:val="43"/>
        </w:numPr>
        <w:ind w:left="3119" w:hanging="284"/>
        <w:rPr>
          <w:lang w:val="en-GB"/>
        </w:rPr>
      </w:pPr>
      <w:bookmarkStart w:id="115" w:name="_Toc147328970"/>
      <w:bookmarkStart w:id="116" w:name="_Toc147329082"/>
      <w:bookmarkStart w:id="117" w:name="_Toc170228512"/>
      <w:r w:rsidRPr="00047453">
        <w:rPr>
          <w:lang w:val="en-GB"/>
        </w:rPr>
        <w:t>detention on remand possible but not ordered</w:t>
      </w:r>
      <w:bookmarkEnd w:id="114"/>
      <w:bookmarkEnd w:id="115"/>
      <w:bookmarkEnd w:id="116"/>
      <w:bookmarkEnd w:id="117"/>
    </w:p>
    <w:p w14:paraId="579228CC" w14:textId="77777777" w:rsidR="00AA0269" w:rsidRPr="00AA0269" w:rsidRDefault="00AA0269" w:rsidP="00777A20">
      <w:pPr>
        <w:pStyle w:val="Listenabsatz"/>
        <w:numPr>
          <w:ilvl w:val="0"/>
          <w:numId w:val="28"/>
        </w:numPr>
        <w:spacing w:line="360" w:lineRule="auto"/>
        <w:ind w:left="3261" w:hanging="142"/>
        <w:jc w:val="both"/>
        <w:rPr>
          <w:lang w:val="fr-FR"/>
        </w:rPr>
      </w:pPr>
      <w:bookmarkStart w:id="118" w:name="_Hlk140226630"/>
      <w:r w:rsidRPr="00AA0269">
        <w:rPr>
          <w:lang w:val="fr-FR"/>
        </w:rPr>
        <w:t xml:space="preserve">FD 2009/829/JHA </w:t>
      </w:r>
      <w:r w:rsidRPr="00AA0269">
        <w:rPr>
          <w:color w:val="FF0000"/>
          <w:lang w:val="fr-FR"/>
        </w:rPr>
        <w:t>(?)</w:t>
      </w:r>
    </w:p>
    <w:p w14:paraId="1D33FBBE" w14:textId="77777777" w:rsidR="00AA0269" w:rsidRPr="00AA0269" w:rsidRDefault="00AA0269" w:rsidP="00777A20">
      <w:pPr>
        <w:pStyle w:val="Listenabsatz"/>
        <w:numPr>
          <w:ilvl w:val="0"/>
          <w:numId w:val="28"/>
        </w:numPr>
        <w:spacing w:line="360" w:lineRule="auto"/>
        <w:ind w:left="3261" w:hanging="142"/>
        <w:jc w:val="both"/>
        <w:rPr>
          <w:lang w:val="fr-FR"/>
        </w:rPr>
      </w:pPr>
      <w:r w:rsidRPr="00AA0269">
        <w:rPr>
          <w:lang w:val="fr-FR"/>
        </w:rPr>
        <w:t xml:space="preserve">DR 2014/41 </w:t>
      </w:r>
      <w:r w:rsidRPr="00AA0269">
        <w:rPr>
          <w:color w:val="FF0000"/>
          <w:lang w:val="fr-FR"/>
        </w:rPr>
        <w:t>(?)</w:t>
      </w:r>
    </w:p>
    <w:p w14:paraId="6E4D757F" w14:textId="77777777" w:rsidR="00AA0269" w:rsidRPr="00AA0269" w:rsidRDefault="00AA0269" w:rsidP="00777A20">
      <w:pPr>
        <w:pStyle w:val="Listenabsatz"/>
        <w:numPr>
          <w:ilvl w:val="0"/>
          <w:numId w:val="28"/>
        </w:numPr>
        <w:spacing w:line="360" w:lineRule="auto"/>
        <w:ind w:left="3261" w:hanging="142"/>
        <w:jc w:val="both"/>
        <w:rPr>
          <w:lang w:val="fr-FR"/>
        </w:rPr>
      </w:pPr>
      <w:r w:rsidRPr="00AA0269">
        <w:rPr>
          <w:lang w:val="fr-FR"/>
        </w:rPr>
        <w:t>EU Convention on Mutual Assistance</w:t>
      </w:r>
    </w:p>
    <w:p w14:paraId="2CA1824C" w14:textId="77777777" w:rsidR="00AA0269" w:rsidRPr="00AA0269" w:rsidRDefault="00AA0269" w:rsidP="00777A20">
      <w:pPr>
        <w:pStyle w:val="Listenabsatz"/>
        <w:numPr>
          <w:ilvl w:val="0"/>
          <w:numId w:val="28"/>
        </w:numPr>
        <w:spacing w:line="360" w:lineRule="auto"/>
        <w:ind w:left="3261" w:hanging="142"/>
        <w:jc w:val="both"/>
        <w:rPr>
          <w:lang w:val="en-US"/>
        </w:rPr>
      </w:pPr>
      <w:r w:rsidRPr="00AA0269">
        <w:rPr>
          <w:lang w:val="en-US"/>
        </w:rPr>
        <w:t>European Convention on Transfer of Proceedings/European Convention on Mutual Assistance in Criminal Matters.</w:t>
      </w:r>
    </w:p>
    <w:p w14:paraId="4B106C82" w14:textId="77777777" w:rsidR="00AA0269" w:rsidRDefault="00AA0269" w:rsidP="00777A20">
      <w:pPr>
        <w:spacing w:line="360" w:lineRule="auto"/>
        <w:jc w:val="both"/>
        <w:rPr>
          <w:lang w:val="en-US"/>
        </w:rPr>
      </w:pPr>
    </w:p>
    <w:p w14:paraId="2776D92B" w14:textId="77777777" w:rsidR="00EB58E0" w:rsidRPr="002F4653" w:rsidRDefault="00EB58E0" w:rsidP="00EB58E0">
      <w:pPr>
        <w:spacing w:line="360" w:lineRule="auto"/>
        <w:jc w:val="both"/>
        <w:rPr>
          <w:lang w:val="en-US"/>
        </w:rPr>
      </w:pPr>
      <w:bookmarkStart w:id="119" w:name="_Hlk141350485"/>
      <w:bookmarkStart w:id="120" w:name="_Hlk140652389"/>
    </w:p>
    <w:p w14:paraId="501F9B55" w14:textId="09FDCAD1" w:rsidR="00AA0269" w:rsidRDefault="00AA0269" w:rsidP="00777A20">
      <w:pPr>
        <w:spacing w:line="360" w:lineRule="auto"/>
        <w:jc w:val="both"/>
        <w:rPr>
          <w:color w:val="FF0000"/>
          <w:lang w:val="en-GB"/>
        </w:rPr>
      </w:pPr>
      <w:r w:rsidRPr="00353C2A">
        <w:rPr>
          <w:color w:val="FF0000"/>
          <w:lang w:val="en-GB"/>
        </w:rPr>
        <w:t>FD 2009/829/JHA seems to require that the person concerned is present in the issuing MS as a precondition to issuing an ESO</w:t>
      </w:r>
      <w:r w:rsidR="00C601B9" w:rsidRPr="00C601B9">
        <w:rPr>
          <w:color w:val="FF0000"/>
          <w:lang w:val="en-GB"/>
        </w:rPr>
        <w:t xml:space="preserve"> to the MS in which the person concerned is lawfully and ordinarily residing</w:t>
      </w:r>
      <w:r w:rsidRPr="00353C2A">
        <w:rPr>
          <w:color w:val="FF0000"/>
          <w:lang w:val="en-GB"/>
        </w:rPr>
        <w:t xml:space="preserve">. According to Art. 9(1) ‘A decision on supervision measures may be </w:t>
      </w:r>
      <w:r w:rsidRPr="00353C2A">
        <w:rPr>
          <w:color w:val="FF0000"/>
          <w:lang w:val="en-GB"/>
        </w:rPr>
        <w:lastRenderedPageBreak/>
        <w:t xml:space="preserve">forwarded to the competent authority of the Member State in which the person is lawfully and ordinarily residing, in cases where the person, having been informed about the measures concerned, </w:t>
      </w:r>
      <w:r w:rsidRPr="00353C2A">
        <w:rPr>
          <w:color w:val="FF0000"/>
          <w:u w:val="single"/>
          <w:lang w:val="en-GB"/>
        </w:rPr>
        <w:t>consents to return to that State</w:t>
      </w:r>
      <w:r w:rsidRPr="00353C2A">
        <w:rPr>
          <w:color w:val="FF0000"/>
          <w:lang w:val="en-GB"/>
        </w:rPr>
        <w:t xml:space="preserve">’. Is it possible </w:t>
      </w:r>
      <w:r w:rsidRPr="00353C2A">
        <w:rPr>
          <w:color w:val="FF0000"/>
          <w:u w:val="single"/>
          <w:lang w:val="en-GB"/>
        </w:rPr>
        <w:t>under EU law</w:t>
      </w:r>
      <w:r w:rsidRPr="00353C2A">
        <w:rPr>
          <w:color w:val="FF0000"/>
          <w:lang w:val="en-GB"/>
        </w:rPr>
        <w:t xml:space="preserve"> to issue an ESO, if the person concerned </w:t>
      </w:r>
      <w:r w:rsidR="00C601B9" w:rsidRPr="00C601B9">
        <w:rPr>
          <w:color w:val="FF0000"/>
          <w:lang w:val="en-GB"/>
        </w:rPr>
        <w:t>already has returned to that MS</w:t>
      </w:r>
      <w:r w:rsidRPr="00353C2A">
        <w:rPr>
          <w:color w:val="FF0000"/>
          <w:lang w:val="en-GB"/>
        </w:rPr>
        <w:t>?</w:t>
      </w:r>
    </w:p>
    <w:p w14:paraId="0C8495F7" w14:textId="3FF7C8F3" w:rsidR="00EB58E0" w:rsidRDefault="00EB58E0" w:rsidP="00777A20">
      <w:pPr>
        <w:spacing w:line="360" w:lineRule="auto"/>
        <w:jc w:val="both"/>
        <w:rPr>
          <w:color w:val="FF0000"/>
          <w:lang w:val="en-GB"/>
        </w:rPr>
      </w:pPr>
    </w:p>
    <w:p w14:paraId="69DA4C62" w14:textId="42995BAE" w:rsidR="00436D80" w:rsidRPr="009D3AEE" w:rsidRDefault="009D3AEE" w:rsidP="00777A20">
      <w:pPr>
        <w:spacing w:line="360" w:lineRule="auto"/>
        <w:jc w:val="both"/>
        <w:rPr>
          <w:lang w:val="en-GB"/>
        </w:rPr>
      </w:pPr>
      <w:r w:rsidRPr="009D3AEE">
        <w:rPr>
          <w:lang w:val="en-US"/>
        </w:rPr>
        <w:t>FD 2009/829/JHA does not cover the scenario that a</w:t>
      </w:r>
      <w:r w:rsidR="001C67F0">
        <w:rPr>
          <w:lang w:val="en-US"/>
        </w:rPr>
        <w:t>n</w:t>
      </w:r>
      <w:r w:rsidRPr="009D3AEE">
        <w:rPr>
          <w:lang w:val="en-US"/>
        </w:rPr>
        <w:t xml:space="preserve"> ESO is issued if the person concerned has already left the issuing Member State (Germany) and has returned to his home country</w:t>
      </w:r>
      <w:r>
        <w:rPr>
          <w:lang w:val="en-US"/>
        </w:rPr>
        <w:t xml:space="preserve">, but </w:t>
      </w:r>
      <w:r w:rsidRPr="009D3AEE">
        <w:rPr>
          <w:lang w:val="en-US"/>
        </w:rPr>
        <w:t>does not preclude the Member States from a transposition into domestic law that allows for the issuing of a</w:t>
      </w:r>
      <w:r w:rsidR="001C67F0">
        <w:rPr>
          <w:lang w:val="en-US"/>
        </w:rPr>
        <w:t>n</w:t>
      </w:r>
      <w:r w:rsidRPr="009D3AEE">
        <w:rPr>
          <w:lang w:val="en-US"/>
        </w:rPr>
        <w:t xml:space="preserve"> ESO where the suspect has already returned to another Member State</w:t>
      </w:r>
      <w:r>
        <w:rPr>
          <w:lang w:val="en-US"/>
        </w:rPr>
        <w:t xml:space="preserve"> (</w:t>
      </w:r>
      <w:r>
        <w:rPr>
          <w:i/>
          <w:lang w:val="en-US"/>
        </w:rPr>
        <w:t xml:space="preserve">supra </w:t>
      </w:r>
      <w:r>
        <w:rPr>
          <w:lang w:val="en-US"/>
        </w:rPr>
        <w:t>2.1.1.).</w:t>
      </w:r>
    </w:p>
    <w:p w14:paraId="76B12DAE" w14:textId="77777777" w:rsidR="00436D80" w:rsidRPr="0086524E" w:rsidRDefault="00436D80" w:rsidP="00777A20">
      <w:pPr>
        <w:spacing w:line="360" w:lineRule="auto"/>
        <w:jc w:val="both"/>
        <w:rPr>
          <w:color w:val="FF0000"/>
          <w:lang w:val="en-GB"/>
        </w:rPr>
      </w:pPr>
    </w:p>
    <w:bookmarkEnd w:id="119"/>
    <w:p w14:paraId="6796D921" w14:textId="77777777" w:rsidR="00AA0269" w:rsidRPr="00353C2A" w:rsidRDefault="00AA0269" w:rsidP="00777A20">
      <w:pPr>
        <w:spacing w:line="360" w:lineRule="auto"/>
        <w:jc w:val="both"/>
        <w:rPr>
          <w:color w:val="FF0000"/>
          <w:lang w:val="en-GB"/>
        </w:rPr>
      </w:pPr>
      <w:r w:rsidRPr="00353C2A">
        <w:rPr>
          <w:color w:val="FF0000"/>
          <w:lang w:val="en-GB"/>
        </w:rPr>
        <w:t>Although an EAW, in general, can be issued in the trial stage, it is not mentioned here, because detention on remand is not ordered.</w:t>
      </w:r>
      <w:r w:rsidRPr="00353C2A">
        <w:rPr>
          <w:lang w:val="en-GB"/>
        </w:rPr>
        <w:t xml:space="preserve"> </w:t>
      </w:r>
    </w:p>
    <w:p w14:paraId="44BB4F61" w14:textId="57B92DBB" w:rsidR="00C1308E" w:rsidRPr="002B2DC3" w:rsidRDefault="00DF3585" w:rsidP="00777A20">
      <w:pPr>
        <w:spacing w:line="360" w:lineRule="auto"/>
        <w:jc w:val="both"/>
        <w:rPr>
          <w:color w:val="FF0000"/>
          <w:lang w:val="en-GB"/>
        </w:rPr>
      </w:pPr>
      <w:r w:rsidRPr="002B2DC3">
        <w:rPr>
          <w:color w:val="FF0000"/>
          <w:lang w:val="en-GB"/>
        </w:rPr>
        <w:t xml:space="preserve">Directive 2014/41 sets rules that apply to ‘all stages of criminal proceedings, including the trial phase’ (recital (25). </w:t>
      </w:r>
      <w:r w:rsidR="0064160D" w:rsidRPr="002B2DC3">
        <w:rPr>
          <w:color w:val="FF0000"/>
          <w:lang w:val="en-GB"/>
        </w:rPr>
        <w:t>At the same time,</w:t>
      </w:r>
      <w:r w:rsidRPr="002B2DC3">
        <w:rPr>
          <w:color w:val="FF0000"/>
          <w:lang w:val="en-GB"/>
        </w:rPr>
        <w:t xml:space="preserve"> these rules pertain to carrying out ‘investigative’ measures</w:t>
      </w:r>
      <w:r w:rsidR="001B1053" w:rsidRPr="002B2DC3">
        <w:rPr>
          <w:color w:val="FF0000"/>
          <w:lang w:val="en-GB"/>
        </w:rPr>
        <w:t xml:space="preserve"> ‘with a view to gathering evidence</w:t>
      </w:r>
      <w:r w:rsidR="00D16DEC" w:rsidRPr="002B2DC3">
        <w:rPr>
          <w:color w:val="FF0000"/>
          <w:lang w:val="en-GB"/>
        </w:rPr>
        <w:t>’ (recital (25)).</w:t>
      </w:r>
      <w:r w:rsidRPr="002B2DC3">
        <w:rPr>
          <w:color w:val="FF0000"/>
          <w:lang w:val="en-GB"/>
        </w:rPr>
        <w:t xml:space="preserve"> </w:t>
      </w:r>
    </w:p>
    <w:p w14:paraId="103C201F" w14:textId="5DB988A8" w:rsidR="000D53CA" w:rsidRDefault="00AA0269" w:rsidP="006601C1">
      <w:pPr>
        <w:spacing w:line="360" w:lineRule="auto"/>
        <w:ind w:left="567"/>
        <w:jc w:val="both"/>
        <w:rPr>
          <w:color w:val="FF0000"/>
          <w:lang w:val="en-GB"/>
        </w:rPr>
      </w:pPr>
      <w:r w:rsidRPr="00F44757">
        <w:rPr>
          <w:color w:val="FF0000"/>
          <w:u w:val="single"/>
          <w:lang w:val="en-GB"/>
        </w:rPr>
        <w:t>Under Directive 2014/41</w:t>
      </w:r>
      <w:r w:rsidRPr="00F44757">
        <w:rPr>
          <w:color w:val="FF0000"/>
          <w:lang w:val="en-GB"/>
        </w:rPr>
        <w:t xml:space="preserve">, is a videoconference possible </w:t>
      </w:r>
      <w:r w:rsidR="00C1308E" w:rsidRPr="00F44757">
        <w:rPr>
          <w:color w:val="FF0000"/>
          <w:lang w:val="en-GB"/>
        </w:rPr>
        <w:t>for</w:t>
      </w:r>
      <w:r w:rsidR="001B1053" w:rsidRPr="00F44757">
        <w:rPr>
          <w:color w:val="FF0000"/>
          <w:lang w:val="en-GB"/>
        </w:rPr>
        <w:t xml:space="preserve"> the sole purpose of ensuring</w:t>
      </w:r>
      <w:r w:rsidRPr="00F44757">
        <w:rPr>
          <w:color w:val="FF0000"/>
          <w:lang w:val="en-GB"/>
        </w:rPr>
        <w:t xml:space="preserve"> the presence of the accused at the trial</w:t>
      </w:r>
      <w:r w:rsidR="001B1053" w:rsidRPr="00F44757">
        <w:rPr>
          <w:color w:val="FF0000"/>
          <w:lang w:val="en-GB"/>
        </w:rPr>
        <w:t xml:space="preserve"> (i.e. without the purpose of gathering evidence)</w:t>
      </w:r>
      <w:r w:rsidRPr="00F44757">
        <w:rPr>
          <w:color w:val="FF0000"/>
          <w:lang w:val="en-GB"/>
        </w:rPr>
        <w:t>?</w:t>
      </w:r>
      <w:r w:rsidR="00CE3704">
        <w:rPr>
          <w:rStyle w:val="Funotenzeichen"/>
          <w:color w:val="FF0000"/>
          <w:lang w:val="en-GB"/>
        </w:rPr>
        <w:footnoteReference w:id="120"/>
      </w:r>
      <w:r w:rsidR="005B0847">
        <w:rPr>
          <w:color w:val="FF0000"/>
          <w:lang w:val="en-GB"/>
        </w:rPr>
        <w:t xml:space="preserve"> </w:t>
      </w:r>
      <w:r w:rsidR="005B0847" w:rsidRPr="00F44757">
        <w:rPr>
          <w:color w:val="FF0000"/>
          <w:lang w:val="en-GB"/>
        </w:rPr>
        <w:t>If not: is such a videoconference possible without issuing an EIO?</w:t>
      </w:r>
      <w:r w:rsidR="005B0847" w:rsidRPr="00F44757">
        <w:rPr>
          <w:rStyle w:val="Funotenzeichen"/>
          <w:color w:val="FF0000"/>
          <w:lang w:val="en-GB"/>
        </w:rPr>
        <w:footnoteReference w:id="121"/>
      </w:r>
    </w:p>
    <w:p w14:paraId="0552C83C" w14:textId="77777777" w:rsidR="000D53CA" w:rsidRDefault="000D53CA" w:rsidP="006601C1">
      <w:pPr>
        <w:spacing w:line="360" w:lineRule="auto"/>
        <w:ind w:left="567"/>
        <w:jc w:val="both"/>
        <w:rPr>
          <w:color w:val="FF0000"/>
          <w:lang w:val="en-GB"/>
        </w:rPr>
      </w:pPr>
    </w:p>
    <w:p w14:paraId="787BEC9B" w14:textId="2D599A7D" w:rsidR="007E1CD8" w:rsidRDefault="007E1CD8" w:rsidP="0042572A">
      <w:pPr>
        <w:spacing w:line="360" w:lineRule="auto"/>
        <w:jc w:val="both"/>
        <w:rPr>
          <w:lang w:val="en-US"/>
        </w:rPr>
      </w:pPr>
      <w:r>
        <w:rPr>
          <w:lang w:val="en-US"/>
        </w:rPr>
        <w:t xml:space="preserve">The wording of Art. 24 DR 2014/41/EU does not suggest an interpretation that this provision can be applied to ensure the presence of the accused person at the trial as the term ‘hearing’ is limited to the part of the trials where the accused person is examined (see also the </w:t>
      </w:r>
      <w:r w:rsidR="00672B19">
        <w:rPr>
          <w:lang w:val="en-US"/>
        </w:rPr>
        <w:t xml:space="preserve">version in </w:t>
      </w:r>
      <w:r>
        <w:rPr>
          <w:lang w:val="en-US"/>
        </w:rPr>
        <w:t xml:space="preserve">German – </w:t>
      </w:r>
      <w:r w:rsidR="000C4539">
        <w:rPr>
          <w:lang w:val="en-US"/>
        </w:rPr>
        <w:t>‘</w:t>
      </w:r>
      <w:r>
        <w:rPr>
          <w:lang w:val="en-US"/>
        </w:rPr>
        <w:t>Vernehmung</w:t>
      </w:r>
      <w:r w:rsidR="000C4539">
        <w:rPr>
          <w:lang w:val="en-US"/>
        </w:rPr>
        <w:t>’</w:t>
      </w:r>
      <w:r>
        <w:rPr>
          <w:lang w:val="en-US"/>
        </w:rPr>
        <w:t xml:space="preserve"> and Dutch – </w:t>
      </w:r>
      <w:r w:rsidR="000C4539">
        <w:rPr>
          <w:lang w:val="en-US"/>
        </w:rPr>
        <w:t>‘</w:t>
      </w:r>
      <w:r>
        <w:rPr>
          <w:lang w:val="en-US"/>
        </w:rPr>
        <w:t>Verhoor</w:t>
      </w:r>
      <w:r w:rsidR="000C4539">
        <w:rPr>
          <w:lang w:val="en-US"/>
        </w:rPr>
        <w:t>’</w:t>
      </w:r>
      <w:r>
        <w:rPr>
          <w:lang w:val="en-US"/>
        </w:rPr>
        <w:t>); the use of the same term for the examination of witnesses an</w:t>
      </w:r>
      <w:r w:rsidR="00055E9D">
        <w:rPr>
          <w:lang w:val="en-US"/>
        </w:rPr>
        <w:t>d</w:t>
      </w:r>
      <w:r>
        <w:rPr>
          <w:lang w:val="en-US"/>
        </w:rPr>
        <w:t xml:space="preserve"> experts (Art. 24(1)1 DR 2014/41/EU) supports this strict interpretation.</w:t>
      </w:r>
      <w:r w:rsidR="00672B19">
        <w:rPr>
          <w:lang w:val="en-US"/>
        </w:rPr>
        <w:t xml:space="preserve"> Admittedly, the right to be present at the trial shall enable the accused person to exercise his right to be heard, but the scope of the EIO is limited to investigative measures to obtain evidence (Art.1(1) DR 2014/41/EU) rather than to ensure the right to be present at the trial (see in this regard DR 2016/343/EU).</w:t>
      </w:r>
    </w:p>
    <w:p w14:paraId="5C6F7D34" w14:textId="47457D68" w:rsidR="001F1FA8" w:rsidRDefault="00F47870" w:rsidP="003D3705">
      <w:pPr>
        <w:pStyle w:val="HTMLVorformatiert"/>
        <w:spacing w:line="360" w:lineRule="auto"/>
        <w:jc w:val="both"/>
        <w:rPr>
          <w:rFonts w:ascii="Times New Roman" w:hAnsi="Times New Roman"/>
          <w:sz w:val="24"/>
          <w:szCs w:val="24"/>
          <w:lang w:val="en-US"/>
        </w:rPr>
      </w:pPr>
      <w:r w:rsidRPr="006E28F5">
        <w:rPr>
          <w:rFonts w:ascii="Times New Roman" w:hAnsi="Times New Roman"/>
          <w:sz w:val="24"/>
          <w:szCs w:val="24"/>
          <w:lang w:val="en-US"/>
        </w:rPr>
        <w:t xml:space="preserve">Despite these concerns, the German government followed a wider understanding of Art. 10 of the EU Convention on Mutual Assistance (the blueprint for Art. 24 DR 2014/41/EU) </w:t>
      </w:r>
      <w:r w:rsidR="00786468" w:rsidRPr="006E28F5">
        <w:rPr>
          <w:rFonts w:ascii="Times New Roman" w:hAnsi="Times New Roman"/>
          <w:sz w:val="24"/>
          <w:szCs w:val="24"/>
          <w:lang w:val="en-US"/>
        </w:rPr>
        <w:t xml:space="preserve">that </w:t>
      </w:r>
      <w:r w:rsidR="00786468" w:rsidRPr="006E28F5">
        <w:rPr>
          <w:rFonts w:ascii="Times New Roman" w:hAnsi="Times New Roman"/>
          <w:sz w:val="24"/>
          <w:szCs w:val="24"/>
          <w:lang w:val="en-US"/>
        </w:rPr>
        <w:lastRenderedPageBreak/>
        <w:t xml:space="preserve">extended to incoming </w:t>
      </w:r>
      <w:r w:rsidRPr="006E28F5">
        <w:rPr>
          <w:rFonts w:ascii="Times New Roman" w:hAnsi="Times New Roman"/>
          <w:sz w:val="24"/>
          <w:szCs w:val="24"/>
          <w:lang w:val="en-US"/>
        </w:rPr>
        <w:t>request</w:t>
      </w:r>
      <w:r w:rsidR="00786468" w:rsidRPr="006E28F5">
        <w:rPr>
          <w:rFonts w:ascii="Times New Roman" w:hAnsi="Times New Roman"/>
          <w:sz w:val="24"/>
          <w:szCs w:val="24"/>
          <w:lang w:val="en-US"/>
        </w:rPr>
        <w:t>s</w:t>
      </w:r>
      <w:r w:rsidRPr="006E28F5">
        <w:rPr>
          <w:rFonts w:ascii="Times New Roman" w:hAnsi="Times New Roman"/>
          <w:sz w:val="24"/>
          <w:szCs w:val="24"/>
          <w:lang w:val="en-US"/>
        </w:rPr>
        <w:t xml:space="preserve"> for a videoconference for the sole purpose of ensuring the participation of the accused person in the trial</w:t>
      </w:r>
      <w:r w:rsidR="006E28F5" w:rsidRPr="006E28F5">
        <w:rPr>
          <w:rFonts w:ascii="Times New Roman" w:hAnsi="Times New Roman"/>
          <w:sz w:val="24"/>
          <w:szCs w:val="24"/>
          <w:lang w:val="en-US"/>
        </w:rPr>
        <w:t xml:space="preserve">, </w:t>
      </w:r>
      <w:r w:rsidR="00712A8B">
        <w:rPr>
          <w:rFonts w:ascii="Times New Roman" w:hAnsi="Times New Roman"/>
          <w:sz w:val="24"/>
          <w:szCs w:val="24"/>
          <w:lang w:val="en-US"/>
        </w:rPr>
        <w:t>if the law of</w:t>
      </w:r>
      <w:r w:rsidR="006E28F5" w:rsidRPr="006E28F5">
        <w:rPr>
          <w:rFonts w:ascii="Times New Roman" w:hAnsi="Times New Roman"/>
          <w:sz w:val="24"/>
          <w:szCs w:val="24"/>
          <w:lang w:val="en-US"/>
        </w:rPr>
        <w:t xml:space="preserve"> </w:t>
      </w:r>
      <w:r w:rsidR="00055C20">
        <w:rPr>
          <w:rFonts w:ascii="Times New Roman" w:hAnsi="Times New Roman"/>
          <w:sz w:val="24"/>
          <w:szCs w:val="24"/>
          <w:lang w:val="en-US"/>
        </w:rPr>
        <w:t xml:space="preserve">the other </w:t>
      </w:r>
      <w:r w:rsidR="006E28F5" w:rsidRPr="006E28F5">
        <w:rPr>
          <w:rFonts w:ascii="Times New Roman" w:hAnsi="Times New Roman"/>
          <w:sz w:val="24"/>
          <w:szCs w:val="24"/>
          <w:lang w:val="en-US"/>
        </w:rPr>
        <w:t xml:space="preserve">MS </w:t>
      </w:r>
      <w:r w:rsidR="00712A8B">
        <w:rPr>
          <w:rFonts w:ascii="Times New Roman" w:hAnsi="Times New Roman"/>
          <w:sz w:val="24"/>
          <w:szCs w:val="24"/>
          <w:lang w:val="en-US"/>
        </w:rPr>
        <w:t xml:space="preserve">allows for </w:t>
      </w:r>
      <w:r w:rsidR="006E28F5" w:rsidRPr="006E28F5">
        <w:rPr>
          <w:rFonts w:ascii="Times New Roman" w:hAnsi="Times New Roman"/>
          <w:sz w:val="24"/>
          <w:szCs w:val="24"/>
          <w:lang w:val="en-US"/>
        </w:rPr>
        <w:t xml:space="preserve">a </w:t>
      </w:r>
      <w:r w:rsidR="00712A8B">
        <w:rPr>
          <w:rFonts w:ascii="Times New Roman" w:hAnsi="Times New Roman"/>
          <w:sz w:val="24"/>
          <w:szCs w:val="24"/>
          <w:lang w:val="en-US"/>
        </w:rPr>
        <w:t xml:space="preserve">criminal </w:t>
      </w:r>
      <w:r w:rsidR="006E28F5" w:rsidRPr="006E28F5">
        <w:rPr>
          <w:rFonts w:ascii="Times New Roman" w:hAnsi="Times New Roman"/>
          <w:sz w:val="24"/>
          <w:szCs w:val="24"/>
          <w:lang w:val="en-US"/>
        </w:rPr>
        <w:t xml:space="preserve">trial in </w:t>
      </w:r>
      <w:r w:rsidR="00712A8B">
        <w:rPr>
          <w:rFonts w:ascii="Times New Roman" w:hAnsi="Times New Roman"/>
          <w:sz w:val="24"/>
          <w:szCs w:val="24"/>
          <w:lang w:val="en-US"/>
        </w:rPr>
        <w:t xml:space="preserve">via videoconference </w:t>
      </w:r>
      <w:r w:rsidR="006E28F5" w:rsidRPr="006E28F5">
        <w:rPr>
          <w:rFonts w:ascii="Times New Roman" w:hAnsi="Times New Roman"/>
          <w:sz w:val="24"/>
          <w:szCs w:val="24"/>
          <w:lang w:val="en-US"/>
        </w:rPr>
        <w:t xml:space="preserve">and </w:t>
      </w:r>
      <w:r w:rsidR="00D81F47">
        <w:rPr>
          <w:rFonts w:ascii="Times New Roman" w:hAnsi="Times New Roman"/>
          <w:sz w:val="24"/>
          <w:szCs w:val="24"/>
          <w:lang w:val="en-US"/>
        </w:rPr>
        <w:t>the accused person has given his consent</w:t>
      </w:r>
      <w:r w:rsidRPr="006E28F5">
        <w:rPr>
          <w:rFonts w:ascii="Times New Roman" w:hAnsi="Times New Roman"/>
          <w:sz w:val="24"/>
          <w:szCs w:val="24"/>
          <w:lang w:val="en-US"/>
        </w:rPr>
        <w:t>.</w:t>
      </w:r>
      <w:r w:rsidRPr="006E28F5">
        <w:rPr>
          <w:rStyle w:val="Funotenzeichen"/>
          <w:rFonts w:ascii="Times New Roman" w:hAnsi="Times New Roman"/>
          <w:sz w:val="24"/>
          <w:szCs w:val="24"/>
          <w:lang w:val="en-US"/>
        </w:rPr>
        <w:footnoteReference w:id="122"/>
      </w:r>
      <w:r w:rsidRPr="006E28F5">
        <w:rPr>
          <w:rFonts w:ascii="Times New Roman" w:hAnsi="Times New Roman"/>
          <w:sz w:val="24"/>
          <w:szCs w:val="24"/>
          <w:lang w:val="en-US"/>
        </w:rPr>
        <w:t xml:space="preserve"> </w:t>
      </w:r>
    </w:p>
    <w:p w14:paraId="42B1E8BD" w14:textId="4FE8DAB8" w:rsidR="00672B19" w:rsidRPr="006E28F5" w:rsidRDefault="00786468" w:rsidP="003D3705">
      <w:pPr>
        <w:pStyle w:val="HTMLVorformatiert"/>
        <w:spacing w:line="360" w:lineRule="auto"/>
        <w:jc w:val="both"/>
        <w:rPr>
          <w:lang w:val="en-US" w:eastAsia="de-DE"/>
        </w:rPr>
      </w:pPr>
      <w:r w:rsidRPr="006E28F5">
        <w:rPr>
          <w:rFonts w:ascii="Times New Roman" w:hAnsi="Times New Roman"/>
          <w:sz w:val="24"/>
          <w:szCs w:val="24"/>
          <w:lang w:val="en-US"/>
        </w:rPr>
        <w:t>In any case,</w:t>
      </w:r>
      <w:r w:rsidR="00096D42" w:rsidRPr="006E28F5">
        <w:rPr>
          <w:rFonts w:ascii="Times New Roman" w:hAnsi="Times New Roman"/>
          <w:sz w:val="24"/>
          <w:szCs w:val="24"/>
          <w:lang w:val="en-US"/>
        </w:rPr>
        <w:t xml:space="preserve"> even without issuing a</w:t>
      </w:r>
      <w:r w:rsidR="001C67F0" w:rsidRPr="006E28F5">
        <w:rPr>
          <w:rFonts w:ascii="Times New Roman" w:hAnsi="Times New Roman"/>
          <w:sz w:val="24"/>
          <w:szCs w:val="24"/>
          <w:lang w:val="en-US"/>
        </w:rPr>
        <w:t>n</w:t>
      </w:r>
      <w:r w:rsidR="00096D42" w:rsidRPr="006E28F5">
        <w:rPr>
          <w:rFonts w:ascii="Times New Roman" w:hAnsi="Times New Roman"/>
          <w:sz w:val="24"/>
          <w:szCs w:val="24"/>
          <w:lang w:val="en-US"/>
        </w:rPr>
        <w:t xml:space="preserve"> EIO,</w:t>
      </w:r>
      <w:r w:rsidRPr="006E28F5">
        <w:rPr>
          <w:rFonts w:ascii="Times New Roman" w:hAnsi="Times New Roman"/>
          <w:sz w:val="24"/>
          <w:szCs w:val="24"/>
          <w:lang w:val="en-US"/>
        </w:rPr>
        <w:t xml:space="preserve"> incoming requests</w:t>
      </w:r>
      <w:r w:rsidR="00036FE3" w:rsidRPr="006E28F5">
        <w:rPr>
          <w:rStyle w:val="Funotenzeichen"/>
          <w:rFonts w:ascii="Times New Roman" w:hAnsi="Times New Roman"/>
          <w:sz w:val="24"/>
          <w:szCs w:val="24"/>
          <w:lang w:val="en-US"/>
        </w:rPr>
        <w:footnoteReference w:id="123"/>
      </w:r>
      <w:r w:rsidRPr="006E28F5">
        <w:rPr>
          <w:rFonts w:ascii="Times New Roman" w:hAnsi="Times New Roman"/>
          <w:sz w:val="24"/>
          <w:szCs w:val="24"/>
          <w:lang w:val="en-US"/>
        </w:rPr>
        <w:t xml:space="preserve"> for a videoconference </w:t>
      </w:r>
      <w:r w:rsidR="006E28F5">
        <w:rPr>
          <w:rFonts w:ascii="Times New Roman" w:hAnsi="Times New Roman"/>
          <w:sz w:val="24"/>
          <w:szCs w:val="24"/>
          <w:lang w:val="en-US"/>
        </w:rPr>
        <w:t xml:space="preserve">to ensure </w:t>
      </w:r>
      <w:r w:rsidR="00855978">
        <w:rPr>
          <w:rFonts w:ascii="Times New Roman" w:hAnsi="Times New Roman"/>
          <w:sz w:val="24"/>
          <w:szCs w:val="24"/>
          <w:lang w:val="en-US"/>
        </w:rPr>
        <w:t xml:space="preserve">the </w:t>
      </w:r>
      <w:r w:rsidR="006E28F5">
        <w:rPr>
          <w:rFonts w:ascii="Times New Roman" w:hAnsi="Times New Roman"/>
          <w:sz w:val="24"/>
          <w:szCs w:val="24"/>
          <w:lang w:val="en-US"/>
        </w:rPr>
        <w:t xml:space="preserve">presence of the accused at the trial </w:t>
      </w:r>
      <w:r w:rsidRPr="006E28F5">
        <w:rPr>
          <w:rFonts w:ascii="Times New Roman" w:hAnsi="Times New Roman"/>
          <w:sz w:val="24"/>
          <w:szCs w:val="24"/>
          <w:lang w:val="en-US"/>
        </w:rPr>
        <w:t>can be granted and executed under the general rules on mutual legal assistance</w:t>
      </w:r>
      <w:r w:rsidR="009D3AEE" w:rsidRPr="006E28F5">
        <w:rPr>
          <w:rFonts w:ascii="Times New Roman" w:hAnsi="Times New Roman"/>
          <w:sz w:val="24"/>
          <w:szCs w:val="24"/>
          <w:lang w:val="en-US"/>
        </w:rPr>
        <w:t xml:space="preserve"> </w:t>
      </w:r>
      <w:r w:rsidR="00061338" w:rsidRPr="006E28F5">
        <w:rPr>
          <w:rFonts w:ascii="Times New Roman" w:hAnsi="Times New Roman"/>
          <w:sz w:val="24"/>
          <w:szCs w:val="24"/>
          <w:lang w:val="en-US"/>
        </w:rPr>
        <w:t>according to EU</w:t>
      </w:r>
      <w:r w:rsidR="00712A8B">
        <w:rPr>
          <w:rFonts w:ascii="Times New Roman" w:hAnsi="Times New Roman"/>
          <w:sz w:val="24"/>
          <w:szCs w:val="24"/>
          <w:lang w:val="en-US"/>
        </w:rPr>
        <w:t xml:space="preserve"> </w:t>
      </w:r>
      <w:r w:rsidR="00061338" w:rsidRPr="006E28F5">
        <w:rPr>
          <w:rFonts w:ascii="Times New Roman" w:hAnsi="Times New Roman"/>
          <w:sz w:val="24"/>
          <w:szCs w:val="24"/>
          <w:lang w:val="en-US"/>
        </w:rPr>
        <w:t xml:space="preserve">law </w:t>
      </w:r>
      <w:r w:rsidR="009D3AEE" w:rsidRPr="006E28F5">
        <w:rPr>
          <w:rFonts w:ascii="Times New Roman" w:hAnsi="Times New Roman"/>
          <w:sz w:val="24"/>
          <w:szCs w:val="24"/>
          <w:lang w:val="en-US"/>
        </w:rPr>
        <w:t xml:space="preserve">(see, however, the limitations under German law </w:t>
      </w:r>
      <w:r w:rsidR="009D3AEE" w:rsidRPr="006E28F5">
        <w:rPr>
          <w:rFonts w:ascii="Times New Roman" w:hAnsi="Times New Roman"/>
          <w:i/>
          <w:sz w:val="24"/>
          <w:szCs w:val="24"/>
          <w:lang w:val="en-US"/>
        </w:rPr>
        <w:t xml:space="preserve">infra </w:t>
      </w:r>
      <w:r w:rsidR="009D3AEE" w:rsidRPr="006E28F5">
        <w:rPr>
          <w:rFonts w:ascii="Times New Roman" w:hAnsi="Times New Roman"/>
          <w:sz w:val="24"/>
          <w:szCs w:val="24"/>
          <w:lang w:val="en-US"/>
        </w:rPr>
        <w:t>2.3. (b))</w:t>
      </w:r>
      <w:r w:rsidRPr="006E28F5">
        <w:rPr>
          <w:rFonts w:ascii="Times New Roman" w:hAnsi="Times New Roman"/>
          <w:sz w:val="24"/>
          <w:szCs w:val="24"/>
          <w:lang w:val="en-US"/>
        </w:rPr>
        <w:t>.</w:t>
      </w:r>
      <w:r w:rsidRPr="006E28F5">
        <w:rPr>
          <w:rStyle w:val="Funotenzeichen"/>
          <w:rFonts w:ascii="Times New Roman" w:hAnsi="Times New Roman"/>
          <w:sz w:val="24"/>
          <w:szCs w:val="24"/>
          <w:lang w:val="en-US"/>
        </w:rPr>
        <w:footnoteReference w:id="124"/>
      </w:r>
    </w:p>
    <w:p w14:paraId="2D2DAC61" w14:textId="77777777" w:rsidR="000D53CA" w:rsidRPr="002F4653" w:rsidRDefault="000D53CA" w:rsidP="006601C1">
      <w:pPr>
        <w:spacing w:line="360" w:lineRule="auto"/>
        <w:ind w:left="567"/>
        <w:jc w:val="both"/>
        <w:rPr>
          <w:color w:val="FF0000"/>
          <w:lang w:val="en-US"/>
        </w:rPr>
      </w:pPr>
    </w:p>
    <w:p w14:paraId="3CDBD91F" w14:textId="16A6943C" w:rsidR="00C1308E" w:rsidRDefault="00C1308E" w:rsidP="006601C1">
      <w:pPr>
        <w:spacing w:line="360" w:lineRule="auto"/>
        <w:ind w:left="567"/>
        <w:jc w:val="both"/>
        <w:rPr>
          <w:color w:val="FF0000"/>
          <w:lang w:val="en-GB"/>
        </w:rPr>
      </w:pPr>
      <w:r w:rsidRPr="00F44757">
        <w:rPr>
          <w:color w:val="FF0000"/>
          <w:lang w:val="en-GB"/>
        </w:rPr>
        <w:t>Is a videoconference possible for the purpose of interrogation of the accused at the trial by the trial court? If not: is such a videoconference possible without issuing an EIO?</w:t>
      </w:r>
    </w:p>
    <w:p w14:paraId="3F9DCF4E" w14:textId="77777777" w:rsidR="000D53CA" w:rsidRDefault="000D53CA" w:rsidP="006601C1">
      <w:pPr>
        <w:spacing w:line="360" w:lineRule="auto"/>
        <w:ind w:left="567"/>
        <w:jc w:val="both"/>
        <w:rPr>
          <w:color w:val="FF0000"/>
          <w:lang w:val="en-GB"/>
        </w:rPr>
      </w:pPr>
    </w:p>
    <w:p w14:paraId="22AB9D8E" w14:textId="39C8CD39" w:rsidR="002F5B6B" w:rsidRPr="002C0616" w:rsidRDefault="005F6668" w:rsidP="0042572A">
      <w:pPr>
        <w:spacing w:line="360" w:lineRule="auto"/>
        <w:jc w:val="both"/>
        <w:rPr>
          <w:lang w:val="en-US"/>
        </w:rPr>
      </w:pPr>
      <w:r>
        <w:rPr>
          <w:lang w:val="en-US"/>
        </w:rPr>
        <w:t xml:space="preserve">The scope of Art. 24(1) DR 2014/41/EU expressly covers the interrogation of the accused person, irrespective of the stage of proceedings. Therefore, a videoconference for this purpose in the trial phase will be possible (see, however, with regard to the limitations under German law </w:t>
      </w:r>
      <w:r>
        <w:rPr>
          <w:i/>
          <w:lang w:val="en-US"/>
        </w:rPr>
        <w:t xml:space="preserve">infra </w:t>
      </w:r>
      <w:r>
        <w:rPr>
          <w:lang w:val="en-US"/>
        </w:rPr>
        <w:t>2.3. (b)).</w:t>
      </w:r>
      <w:r w:rsidR="009C072B">
        <w:rPr>
          <w:lang w:val="en-US"/>
        </w:rPr>
        <w:t xml:space="preserve"> </w:t>
      </w:r>
      <w:r w:rsidR="00712A8B">
        <w:rPr>
          <w:lang w:val="en-US"/>
        </w:rPr>
        <w:t>As far as the EIO is not applicable</w:t>
      </w:r>
      <w:r w:rsidR="00C37EBE">
        <w:rPr>
          <w:lang w:val="en-US"/>
        </w:rPr>
        <w:t xml:space="preserve">, Art. 10(9) of the EU Convention on Mutual Assistance (Denmark) and Art. 9 of the Second Additional Protocol to the Council of Europe Convention on Mutual Assistance in Criminal Matters (Ireland) </w:t>
      </w:r>
      <w:r w:rsidR="00712A8B">
        <w:rPr>
          <w:lang w:val="en-US"/>
        </w:rPr>
        <w:t>provide a legal basis to proceed accordingly</w:t>
      </w:r>
      <w:r w:rsidR="00C37EBE">
        <w:rPr>
          <w:lang w:val="en-US"/>
        </w:rPr>
        <w:t>.</w:t>
      </w:r>
      <w:r w:rsidR="00402F86">
        <w:rPr>
          <w:rStyle w:val="Funotenzeichen"/>
          <w:lang w:val="en-US"/>
        </w:rPr>
        <w:footnoteReference w:id="125"/>
      </w:r>
    </w:p>
    <w:p w14:paraId="2426AEA4" w14:textId="77777777" w:rsidR="000D53CA" w:rsidRPr="002C0616" w:rsidRDefault="000D53CA" w:rsidP="006601C1">
      <w:pPr>
        <w:spacing w:line="360" w:lineRule="auto"/>
        <w:ind w:left="567"/>
        <w:jc w:val="both"/>
        <w:rPr>
          <w:color w:val="FF0000"/>
          <w:lang w:val="en-US"/>
        </w:rPr>
      </w:pPr>
    </w:p>
    <w:p w14:paraId="0E6D7DFF" w14:textId="583CE837" w:rsidR="00C1308E" w:rsidRDefault="00C1308E" w:rsidP="006601C1">
      <w:pPr>
        <w:spacing w:line="360" w:lineRule="auto"/>
        <w:ind w:left="567"/>
        <w:jc w:val="both"/>
        <w:rPr>
          <w:color w:val="FF0000"/>
          <w:lang w:val="en-GB"/>
        </w:rPr>
      </w:pPr>
      <w:r w:rsidRPr="00F44757">
        <w:rPr>
          <w:color w:val="FF0000"/>
          <w:lang w:val="en-GB"/>
        </w:rPr>
        <w:t xml:space="preserve">Under Directive 2014/41, is a temporary transfer possible for the sole purpose of ensuring the presence of the accused at the trial (i.e. without the purpose of gathering evidence)? Is a temporary transfer possible for the purpose of interrogation of the accused at the trial by the trial court? </w:t>
      </w:r>
    </w:p>
    <w:p w14:paraId="30A4FE65" w14:textId="77777777" w:rsidR="002F5B6B" w:rsidRDefault="002F5B6B" w:rsidP="006601C1">
      <w:pPr>
        <w:spacing w:line="360" w:lineRule="auto"/>
        <w:ind w:left="567"/>
        <w:jc w:val="both"/>
        <w:rPr>
          <w:color w:val="FF0000"/>
          <w:lang w:val="en-GB"/>
        </w:rPr>
      </w:pPr>
    </w:p>
    <w:p w14:paraId="44C02DED" w14:textId="7B921563" w:rsidR="002F5B6B" w:rsidRDefault="00882403" w:rsidP="0042572A">
      <w:pPr>
        <w:spacing w:line="360" w:lineRule="auto"/>
        <w:jc w:val="both"/>
        <w:rPr>
          <w:lang w:val="en-US"/>
        </w:rPr>
      </w:pPr>
      <w:r w:rsidRPr="00882403">
        <w:rPr>
          <w:lang w:val="en-US"/>
        </w:rPr>
        <w:t>As has been mentioned before</w:t>
      </w:r>
      <w:r w:rsidR="00F65193">
        <w:rPr>
          <w:lang w:val="en-US"/>
        </w:rPr>
        <w:t xml:space="preserve"> (</w:t>
      </w:r>
      <w:r w:rsidR="00F65193">
        <w:rPr>
          <w:i/>
          <w:lang w:val="en-US"/>
        </w:rPr>
        <w:t xml:space="preserve">supra </w:t>
      </w:r>
      <w:r w:rsidR="00F65193">
        <w:rPr>
          <w:lang w:val="en-US"/>
        </w:rPr>
        <w:t>2.1.1.)</w:t>
      </w:r>
      <w:r w:rsidRPr="00882403">
        <w:rPr>
          <w:lang w:val="en-US"/>
        </w:rPr>
        <w:t xml:space="preserve">, </w:t>
      </w:r>
      <w:r>
        <w:rPr>
          <w:lang w:val="en-US"/>
        </w:rPr>
        <w:t>the transfer of an accused person who is detained in another Member State, cannot be requested by a</w:t>
      </w:r>
      <w:r w:rsidR="001C67F0">
        <w:rPr>
          <w:lang w:val="en-US"/>
        </w:rPr>
        <w:t>n</w:t>
      </w:r>
      <w:r>
        <w:rPr>
          <w:lang w:val="en-US"/>
        </w:rPr>
        <w:t xml:space="preserve"> EIO because the EAW is the suitable and primary cooperation instrument for the surrender of accused persons for the purpose of prosecution (recital (25) DR 2014/41/EU)</w:t>
      </w:r>
      <w:r w:rsidR="0094574E">
        <w:rPr>
          <w:lang w:val="en-US"/>
        </w:rPr>
        <w:t>. So, as a matter of principle, Art. 22 of DR 2014/41/EU allows for an interrogation of the accused person, but temporary transfer is exclusively governed by the provisions on the EAW</w:t>
      </w:r>
      <w:r>
        <w:rPr>
          <w:lang w:val="en-US"/>
        </w:rPr>
        <w:t>.</w:t>
      </w:r>
      <w:r>
        <w:rPr>
          <w:rStyle w:val="Funotenzeichen"/>
          <w:lang w:val="en-US"/>
        </w:rPr>
        <w:footnoteReference w:id="126"/>
      </w:r>
    </w:p>
    <w:p w14:paraId="20C62BEB" w14:textId="77777777" w:rsidR="00F65193" w:rsidRDefault="00F65193" w:rsidP="00F11A8E">
      <w:pPr>
        <w:spacing w:line="360" w:lineRule="auto"/>
        <w:ind w:left="567"/>
        <w:jc w:val="both"/>
        <w:rPr>
          <w:lang w:val="en-US"/>
        </w:rPr>
      </w:pPr>
    </w:p>
    <w:p w14:paraId="6D8FA079" w14:textId="618867C7" w:rsidR="00F65193" w:rsidRDefault="00F65193" w:rsidP="0042572A">
      <w:pPr>
        <w:spacing w:line="360" w:lineRule="auto"/>
        <w:jc w:val="both"/>
        <w:rPr>
          <w:lang w:val="en-US"/>
        </w:rPr>
      </w:pPr>
      <w:r>
        <w:rPr>
          <w:lang w:val="en-US"/>
        </w:rPr>
        <w:t xml:space="preserve">If the </w:t>
      </w:r>
      <w:r w:rsidR="000B64FD">
        <w:rPr>
          <w:lang w:val="en-US"/>
        </w:rPr>
        <w:t xml:space="preserve">accused </w:t>
      </w:r>
      <w:r>
        <w:rPr>
          <w:lang w:val="en-US"/>
        </w:rPr>
        <w:t xml:space="preserve">person is another Member State, the trial court may serve a summons to </w:t>
      </w:r>
      <w:r w:rsidR="000B64FD">
        <w:rPr>
          <w:lang w:val="en-US"/>
        </w:rPr>
        <w:t>him</w:t>
      </w:r>
      <w:r>
        <w:rPr>
          <w:lang w:val="en-US"/>
        </w:rPr>
        <w:t xml:space="preserve"> (Art. 5 EU Convention on Mutual Assistance).</w:t>
      </w:r>
      <w:r w:rsidR="000B64FD">
        <w:rPr>
          <w:lang w:val="en-US"/>
        </w:rPr>
        <w:t xml:space="preserve"> </w:t>
      </w:r>
    </w:p>
    <w:p w14:paraId="72A47287" w14:textId="77777777" w:rsidR="00F65193" w:rsidRDefault="00F65193" w:rsidP="006601C1">
      <w:pPr>
        <w:spacing w:line="360" w:lineRule="auto"/>
        <w:ind w:left="567"/>
        <w:jc w:val="both"/>
        <w:rPr>
          <w:lang w:val="en-US"/>
        </w:rPr>
      </w:pPr>
    </w:p>
    <w:p w14:paraId="29CA9237" w14:textId="7DAB3CFA" w:rsidR="00F65193" w:rsidRPr="00882403" w:rsidRDefault="000B64FD" w:rsidP="0042572A">
      <w:pPr>
        <w:spacing w:line="360" w:lineRule="auto"/>
        <w:jc w:val="both"/>
        <w:rPr>
          <w:lang w:val="en-US"/>
        </w:rPr>
      </w:pPr>
      <w:r>
        <w:rPr>
          <w:lang w:val="en-US"/>
        </w:rPr>
        <w:t xml:space="preserve">A transfer of criminal proceedings </w:t>
      </w:r>
      <w:r w:rsidR="007E164A">
        <w:rPr>
          <w:lang w:val="en-US"/>
        </w:rPr>
        <w:t xml:space="preserve">under Art. 21 of the European Convention on Legal Assistance </w:t>
      </w:r>
      <w:r>
        <w:rPr>
          <w:lang w:val="en-US"/>
        </w:rPr>
        <w:t>is not limited to the pre-trial stage</w:t>
      </w:r>
      <w:r w:rsidR="007E164A">
        <w:rPr>
          <w:lang w:val="en-US"/>
        </w:rPr>
        <w:t>, but may as well be considered in the trial phase</w:t>
      </w:r>
      <w:r>
        <w:rPr>
          <w:lang w:val="en-US"/>
        </w:rPr>
        <w:t xml:space="preserve">. </w:t>
      </w:r>
    </w:p>
    <w:p w14:paraId="30FA44B6" w14:textId="28DBFDB8" w:rsidR="00AA0269" w:rsidRPr="00882403" w:rsidRDefault="00AA0269" w:rsidP="006601C1">
      <w:pPr>
        <w:spacing w:line="360" w:lineRule="auto"/>
        <w:jc w:val="both"/>
        <w:rPr>
          <w:lang w:val="en-US"/>
        </w:rPr>
      </w:pPr>
    </w:p>
    <w:p w14:paraId="0C2AD622" w14:textId="77777777" w:rsidR="00AA0269" w:rsidRPr="00AA0269" w:rsidRDefault="00AA0269" w:rsidP="00777A20">
      <w:pPr>
        <w:pStyle w:val="berschrift6"/>
        <w:ind w:left="3119" w:hanging="284"/>
        <w:rPr>
          <w:lang w:val="en-GB"/>
        </w:rPr>
      </w:pPr>
      <w:bookmarkStart w:id="121" w:name="_Hlk143768349"/>
      <w:bookmarkStart w:id="122" w:name="_Toc147328971"/>
      <w:bookmarkStart w:id="123" w:name="_Toc147329083"/>
      <w:bookmarkStart w:id="124" w:name="_Toc170228513"/>
      <w:bookmarkEnd w:id="118"/>
      <w:bookmarkEnd w:id="120"/>
      <w:r w:rsidRPr="00AA0269">
        <w:rPr>
          <w:lang w:val="en-GB"/>
        </w:rPr>
        <w:t>detention on remand ordered</w:t>
      </w:r>
      <w:bookmarkEnd w:id="121"/>
      <w:bookmarkEnd w:id="122"/>
      <w:bookmarkEnd w:id="123"/>
      <w:bookmarkEnd w:id="124"/>
    </w:p>
    <w:p w14:paraId="62658BEC" w14:textId="5BD2DE40" w:rsidR="00AA0269" w:rsidRPr="00AA0269" w:rsidRDefault="00AA0269" w:rsidP="00777A20">
      <w:pPr>
        <w:pStyle w:val="Listenabsatz"/>
        <w:numPr>
          <w:ilvl w:val="0"/>
          <w:numId w:val="29"/>
        </w:numPr>
        <w:spacing w:line="360" w:lineRule="auto"/>
        <w:ind w:left="3261" w:hanging="142"/>
        <w:jc w:val="both"/>
        <w:rPr>
          <w:lang w:val="en-GB"/>
        </w:rPr>
      </w:pPr>
      <w:r w:rsidRPr="00AA0269">
        <w:rPr>
          <w:lang w:val="en-GB"/>
        </w:rPr>
        <w:t>FD 2002/584/JHA</w:t>
      </w:r>
      <w:r w:rsidR="00FC725C">
        <w:rPr>
          <w:rStyle w:val="Funotenzeichen"/>
          <w:lang w:val="en-GB"/>
        </w:rPr>
        <w:footnoteReference w:id="127"/>
      </w:r>
    </w:p>
    <w:p w14:paraId="6CB5D810" w14:textId="77777777" w:rsidR="00AA0269" w:rsidRPr="00AA0269" w:rsidRDefault="00AA0269" w:rsidP="00777A20">
      <w:pPr>
        <w:pStyle w:val="Listenabsatz"/>
        <w:numPr>
          <w:ilvl w:val="0"/>
          <w:numId w:val="29"/>
        </w:numPr>
        <w:spacing w:line="360" w:lineRule="auto"/>
        <w:ind w:left="3261" w:hanging="142"/>
        <w:jc w:val="both"/>
        <w:rPr>
          <w:lang w:val="en-GB"/>
        </w:rPr>
      </w:pPr>
      <w:r w:rsidRPr="00AA0269">
        <w:rPr>
          <w:lang w:val="en-GB"/>
        </w:rPr>
        <w:t xml:space="preserve">FD 2009/829/JHA </w:t>
      </w:r>
      <w:r w:rsidRPr="00AA0269">
        <w:rPr>
          <w:color w:val="FF0000"/>
          <w:lang w:val="en-GB"/>
        </w:rPr>
        <w:t>(?)</w:t>
      </w:r>
      <w:r w:rsidRPr="00AA0269">
        <w:rPr>
          <w:lang w:val="en-GB"/>
        </w:rPr>
        <w:t xml:space="preserve"> </w:t>
      </w:r>
    </w:p>
    <w:p w14:paraId="172EDD45" w14:textId="77777777" w:rsidR="00AA0269" w:rsidRPr="00AA0269" w:rsidRDefault="00AA0269" w:rsidP="00777A20">
      <w:pPr>
        <w:pStyle w:val="Listenabsatz"/>
        <w:numPr>
          <w:ilvl w:val="0"/>
          <w:numId w:val="29"/>
        </w:numPr>
        <w:spacing w:line="360" w:lineRule="auto"/>
        <w:ind w:left="3261" w:hanging="142"/>
        <w:jc w:val="both"/>
        <w:rPr>
          <w:lang w:val="en-GB"/>
        </w:rPr>
      </w:pPr>
      <w:r w:rsidRPr="00AA0269">
        <w:rPr>
          <w:lang w:val="en-GB"/>
        </w:rPr>
        <w:t xml:space="preserve">DR 2014/41 </w:t>
      </w:r>
      <w:r w:rsidRPr="00AA0269">
        <w:rPr>
          <w:color w:val="FF0000"/>
          <w:lang w:val="en-GB"/>
        </w:rPr>
        <w:t>(?)</w:t>
      </w:r>
    </w:p>
    <w:p w14:paraId="7BEB527D" w14:textId="77777777" w:rsidR="00AA0269" w:rsidRPr="00AA0269" w:rsidRDefault="00AA0269" w:rsidP="00777A20">
      <w:pPr>
        <w:pStyle w:val="Listenabsatz"/>
        <w:numPr>
          <w:ilvl w:val="0"/>
          <w:numId w:val="29"/>
        </w:numPr>
        <w:spacing w:line="360" w:lineRule="auto"/>
        <w:ind w:left="3261" w:hanging="142"/>
        <w:jc w:val="both"/>
        <w:rPr>
          <w:lang w:val="fr-FR"/>
        </w:rPr>
      </w:pPr>
      <w:r w:rsidRPr="00AA0269">
        <w:rPr>
          <w:lang w:val="fr-FR"/>
        </w:rPr>
        <w:t>EU Convention on Mutual Assistance</w:t>
      </w:r>
    </w:p>
    <w:p w14:paraId="0DC88EFB" w14:textId="77777777" w:rsidR="00AA0269" w:rsidRDefault="00AA0269" w:rsidP="00777A20">
      <w:pPr>
        <w:pStyle w:val="Listenabsatz"/>
        <w:numPr>
          <w:ilvl w:val="0"/>
          <w:numId w:val="29"/>
        </w:numPr>
        <w:spacing w:line="360" w:lineRule="auto"/>
        <w:ind w:left="3261" w:hanging="142"/>
        <w:jc w:val="both"/>
        <w:rPr>
          <w:lang w:val="en-GB"/>
        </w:rPr>
      </w:pPr>
      <w:r w:rsidRPr="00AA0269">
        <w:rPr>
          <w:lang w:val="en-GB"/>
        </w:rPr>
        <w:t>European Convention on Transfer of Proceedings/European Convention on Mutual Assistance in Criminal Matters</w:t>
      </w:r>
      <w:r>
        <w:rPr>
          <w:lang w:val="en-GB"/>
        </w:rPr>
        <w:t>.</w:t>
      </w:r>
    </w:p>
    <w:p w14:paraId="1AB595F5" w14:textId="1BFEDBAA" w:rsidR="00903F38" w:rsidRDefault="00903F38" w:rsidP="00777A20">
      <w:pPr>
        <w:spacing w:line="360" w:lineRule="auto"/>
        <w:jc w:val="both"/>
        <w:rPr>
          <w:color w:val="FF0000"/>
          <w:lang w:val="en-GB"/>
        </w:rPr>
      </w:pPr>
    </w:p>
    <w:p w14:paraId="2690E4CE" w14:textId="2DE77A03" w:rsidR="007E164A" w:rsidRPr="007E164A" w:rsidRDefault="00DB58FD" w:rsidP="0042572A">
      <w:pPr>
        <w:spacing w:line="360" w:lineRule="auto"/>
        <w:jc w:val="both"/>
        <w:rPr>
          <w:i/>
          <w:lang w:val="en-US"/>
        </w:rPr>
      </w:pPr>
      <w:r>
        <w:rPr>
          <w:lang w:val="en-US"/>
        </w:rPr>
        <w:t>A</w:t>
      </w:r>
      <w:r w:rsidR="00127DD2">
        <w:rPr>
          <w:lang w:val="en-US"/>
        </w:rPr>
        <w:t>n</w:t>
      </w:r>
      <w:r>
        <w:rPr>
          <w:lang w:val="en-US"/>
        </w:rPr>
        <w:t xml:space="preserve"> EAW may only be issued on the basis of a domestic arrest warrant.</w:t>
      </w:r>
      <w:r w:rsidR="007525C7">
        <w:rPr>
          <w:lang w:val="en-US"/>
        </w:rPr>
        <w:t xml:space="preserve"> </w:t>
      </w:r>
      <w:r w:rsidR="007E164A">
        <w:rPr>
          <w:lang w:val="en-US"/>
        </w:rPr>
        <w:t>Moreover, the issuing of a</w:t>
      </w:r>
      <w:r w:rsidR="00127DD2">
        <w:rPr>
          <w:lang w:val="en-US"/>
        </w:rPr>
        <w:t>n</w:t>
      </w:r>
      <w:r w:rsidR="007E164A">
        <w:rPr>
          <w:lang w:val="en-US"/>
        </w:rPr>
        <w:t xml:space="preserve"> EAW requires an additional proportionality assessment (</w:t>
      </w:r>
      <w:r w:rsidR="007E164A">
        <w:rPr>
          <w:i/>
          <w:lang w:val="en-US"/>
        </w:rPr>
        <w:t xml:space="preserve">supra </w:t>
      </w:r>
      <w:r w:rsidR="007E164A">
        <w:rPr>
          <w:lang w:val="en-US"/>
        </w:rPr>
        <w:t>2.1.1.).</w:t>
      </w:r>
    </w:p>
    <w:p w14:paraId="4DBA5C7C" w14:textId="2693B4EC" w:rsidR="00EB58E0" w:rsidRPr="009779B1" w:rsidRDefault="007525C7" w:rsidP="0042572A">
      <w:pPr>
        <w:spacing w:line="360" w:lineRule="auto"/>
        <w:jc w:val="both"/>
        <w:rPr>
          <w:lang w:val="en-US"/>
        </w:rPr>
      </w:pPr>
      <w:r w:rsidRPr="00EB58E0">
        <w:rPr>
          <w:lang w:val="en-US"/>
        </w:rPr>
        <w:lastRenderedPageBreak/>
        <w:t>As in the pre-trial stage (</w:t>
      </w:r>
      <w:r w:rsidRPr="00EB58E0">
        <w:rPr>
          <w:i/>
          <w:lang w:val="en-US"/>
        </w:rPr>
        <w:t xml:space="preserve">supra </w:t>
      </w:r>
      <w:r w:rsidRPr="00EB58E0">
        <w:rPr>
          <w:lang w:val="en-US"/>
        </w:rPr>
        <w:t xml:space="preserve">2.1.1.), an arrest warrant ordering detention on remand </w:t>
      </w:r>
      <w:r w:rsidR="0018467D">
        <w:rPr>
          <w:lang w:val="en-US"/>
        </w:rPr>
        <w:t xml:space="preserve">may be </w:t>
      </w:r>
      <w:r w:rsidRPr="00EB58E0">
        <w:rPr>
          <w:lang w:val="en-US"/>
        </w:rPr>
        <w:t>a precondition to issuing a</w:t>
      </w:r>
      <w:r w:rsidR="001C67F0">
        <w:rPr>
          <w:lang w:val="en-US"/>
        </w:rPr>
        <w:t>n</w:t>
      </w:r>
      <w:r w:rsidRPr="00EB58E0">
        <w:rPr>
          <w:lang w:val="en-US"/>
        </w:rPr>
        <w:t xml:space="preserve"> ESO. </w:t>
      </w:r>
      <w:r w:rsidR="007C69F7">
        <w:rPr>
          <w:lang w:val="en-US"/>
        </w:rPr>
        <w:t xml:space="preserve">If detention has been ordered, the </w:t>
      </w:r>
      <w:r w:rsidRPr="00EB58E0">
        <w:rPr>
          <w:lang w:val="en-US"/>
        </w:rPr>
        <w:t xml:space="preserve">trial court </w:t>
      </w:r>
      <w:r w:rsidR="007C69F7">
        <w:rPr>
          <w:lang w:val="en-US"/>
        </w:rPr>
        <w:t>may</w:t>
      </w:r>
      <w:r w:rsidRPr="00EB58E0">
        <w:rPr>
          <w:lang w:val="en-US"/>
        </w:rPr>
        <w:t xml:space="preserve"> suspend the exe</w:t>
      </w:r>
      <w:r w:rsidR="007C69F7">
        <w:rPr>
          <w:lang w:val="en-US"/>
        </w:rPr>
        <w:t>cution of the arrest warrant and</w:t>
      </w:r>
      <w:r w:rsidRPr="00EB58E0">
        <w:rPr>
          <w:lang w:val="en-US"/>
        </w:rPr>
        <w:t xml:space="preserve"> adopt supervision measures</w:t>
      </w:r>
      <w:r w:rsidR="009779B1">
        <w:rPr>
          <w:lang w:val="en-US"/>
        </w:rPr>
        <w:t xml:space="preserve"> </w:t>
      </w:r>
      <w:r w:rsidRPr="009779B1">
        <w:rPr>
          <w:lang w:val="en-US"/>
        </w:rPr>
        <w:t>and to issue a</w:t>
      </w:r>
      <w:r w:rsidR="001C67F0">
        <w:rPr>
          <w:lang w:val="en-US"/>
        </w:rPr>
        <w:t>n</w:t>
      </w:r>
      <w:r w:rsidRPr="009779B1">
        <w:rPr>
          <w:lang w:val="en-US"/>
        </w:rPr>
        <w:t xml:space="preserve"> ESO.</w:t>
      </w:r>
    </w:p>
    <w:p w14:paraId="017AE814" w14:textId="77777777" w:rsidR="00EB58E0" w:rsidRPr="009779B1" w:rsidRDefault="00EB58E0" w:rsidP="00777A20">
      <w:pPr>
        <w:spacing w:line="360" w:lineRule="auto"/>
        <w:jc w:val="both"/>
        <w:rPr>
          <w:color w:val="FF0000"/>
          <w:lang w:val="en-US"/>
        </w:rPr>
      </w:pPr>
    </w:p>
    <w:p w14:paraId="4C6F127A" w14:textId="07CB3B7B" w:rsidR="00AA0269" w:rsidRPr="00353C2A" w:rsidRDefault="00AA0269" w:rsidP="00777A20">
      <w:pPr>
        <w:spacing w:line="360" w:lineRule="auto"/>
        <w:jc w:val="both"/>
        <w:rPr>
          <w:color w:val="FF0000"/>
          <w:lang w:val="en-GB"/>
        </w:rPr>
      </w:pPr>
      <w:r w:rsidRPr="00353C2A">
        <w:rPr>
          <w:color w:val="FF0000"/>
          <w:lang w:val="en-GB"/>
        </w:rPr>
        <w:t>FD 2009/829/JHA seems to require that the person concerned is present in the issuing MS as a precondition to issuing an ESO</w:t>
      </w:r>
      <w:r w:rsidR="00C601B9" w:rsidRPr="00C601B9">
        <w:rPr>
          <w:color w:val="FF0000"/>
          <w:lang w:val="en-GB"/>
        </w:rPr>
        <w:t xml:space="preserve"> to the MS in which the person concerned is lawfully and ordinarily residing</w:t>
      </w:r>
      <w:r w:rsidRPr="00353C2A">
        <w:rPr>
          <w:color w:val="FF0000"/>
          <w:lang w:val="en-GB"/>
        </w:rPr>
        <w:t xml:space="preserve">. According to Art. 9(1) ‘A decision on supervision measures may be forwarded to the competent authority of the Member State in which the person is lawfully and ordinarily residing, in cases where the person, having been informed about the measures concerned, </w:t>
      </w:r>
      <w:r w:rsidRPr="00353C2A">
        <w:rPr>
          <w:color w:val="FF0000"/>
          <w:u w:val="single"/>
          <w:lang w:val="en-GB"/>
        </w:rPr>
        <w:t>consents to return to that State</w:t>
      </w:r>
      <w:r w:rsidRPr="00353C2A">
        <w:rPr>
          <w:color w:val="FF0000"/>
          <w:lang w:val="en-GB"/>
        </w:rPr>
        <w:t xml:space="preserve">’. Is it possible </w:t>
      </w:r>
      <w:r w:rsidRPr="00353C2A">
        <w:rPr>
          <w:color w:val="FF0000"/>
          <w:u w:val="single"/>
          <w:lang w:val="en-GB"/>
        </w:rPr>
        <w:t>under EU law</w:t>
      </w:r>
      <w:r w:rsidRPr="00353C2A">
        <w:rPr>
          <w:color w:val="FF0000"/>
          <w:lang w:val="en-GB"/>
        </w:rPr>
        <w:t xml:space="preserve"> to issue an ESO, if the person concerned </w:t>
      </w:r>
      <w:r w:rsidR="00C601B9" w:rsidRPr="00C601B9">
        <w:rPr>
          <w:color w:val="FF0000"/>
          <w:lang w:val="en-GB"/>
        </w:rPr>
        <w:t>already has returned to that MS</w:t>
      </w:r>
      <w:r w:rsidRPr="00353C2A">
        <w:rPr>
          <w:color w:val="FF0000"/>
          <w:lang w:val="en-GB"/>
        </w:rPr>
        <w:t>?</w:t>
      </w:r>
    </w:p>
    <w:p w14:paraId="5D97744B" w14:textId="77777777" w:rsidR="009779B1" w:rsidRDefault="009779B1" w:rsidP="00777A20">
      <w:pPr>
        <w:spacing w:line="360" w:lineRule="auto"/>
        <w:jc w:val="both"/>
        <w:rPr>
          <w:color w:val="FF0000"/>
          <w:lang w:val="en-GB"/>
        </w:rPr>
      </w:pPr>
    </w:p>
    <w:p w14:paraId="16555B62" w14:textId="443A58C2" w:rsidR="009779B1" w:rsidRPr="009779B1" w:rsidRDefault="009E7D72" w:rsidP="0042572A">
      <w:pPr>
        <w:spacing w:line="360" w:lineRule="auto"/>
        <w:jc w:val="both"/>
        <w:rPr>
          <w:lang w:val="en-US"/>
        </w:rPr>
      </w:pPr>
      <w:r>
        <w:rPr>
          <w:lang w:val="en-GB"/>
        </w:rPr>
        <w:t>As has been mentioned before</w:t>
      </w:r>
      <w:r w:rsidR="009779B1" w:rsidRPr="009779B1">
        <w:rPr>
          <w:lang w:val="en-US"/>
        </w:rPr>
        <w:t>, the scope of FD 2009/829/JHA does not cover the scenario that a</w:t>
      </w:r>
      <w:r w:rsidR="001C67F0">
        <w:rPr>
          <w:lang w:val="en-US"/>
        </w:rPr>
        <w:t>n</w:t>
      </w:r>
      <w:r w:rsidR="009779B1" w:rsidRPr="009779B1">
        <w:rPr>
          <w:lang w:val="en-US"/>
        </w:rPr>
        <w:t xml:space="preserve"> ESO is issued if the person concerned has already left the issuing Member State (Germany) and has returned to his home country</w:t>
      </w:r>
      <w:r w:rsidR="009779B1">
        <w:rPr>
          <w:lang w:val="en-US"/>
        </w:rPr>
        <w:t xml:space="preserve"> (</w:t>
      </w:r>
      <w:r w:rsidR="009779B1">
        <w:rPr>
          <w:i/>
          <w:lang w:val="en-US"/>
        </w:rPr>
        <w:t xml:space="preserve">supra </w:t>
      </w:r>
      <w:r w:rsidR="009779B1">
        <w:rPr>
          <w:lang w:val="en-US"/>
        </w:rPr>
        <w:t>2.1.1.)</w:t>
      </w:r>
      <w:r w:rsidR="009779B1" w:rsidRPr="009779B1">
        <w:rPr>
          <w:lang w:val="en-US"/>
        </w:rPr>
        <w:t>.</w:t>
      </w:r>
      <w:r w:rsidR="009779B1" w:rsidRPr="009779B1">
        <w:rPr>
          <w:vertAlign w:val="superscript"/>
          <w:lang w:val="en-US"/>
        </w:rPr>
        <w:footnoteReference w:id="128"/>
      </w:r>
      <w:r w:rsidR="009779B1" w:rsidRPr="009779B1">
        <w:rPr>
          <w:lang w:val="en-US"/>
        </w:rPr>
        <w:t xml:space="preserve"> EU law, however, does not preclude the issuing of a</w:t>
      </w:r>
      <w:r w:rsidR="001C67F0">
        <w:rPr>
          <w:lang w:val="en-US"/>
        </w:rPr>
        <w:t>n</w:t>
      </w:r>
      <w:r w:rsidR="009779B1" w:rsidRPr="009779B1">
        <w:rPr>
          <w:lang w:val="en-US"/>
        </w:rPr>
        <w:t xml:space="preserve"> ESO where the suspect has already returned to another Member State.</w:t>
      </w:r>
      <w:r w:rsidR="009779B1" w:rsidRPr="009779B1">
        <w:rPr>
          <w:vertAlign w:val="superscript"/>
          <w:lang w:val="en-US"/>
        </w:rPr>
        <w:footnoteReference w:id="129"/>
      </w:r>
      <w:r w:rsidR="009779B1" w:rsidRPr="009779B1">
        <w:rPr>
          <w:lang w:val="en-US"/>
        </w:rPr>
        <w:t xml:space="preserve"> </w:t>
      </w:r>
      <w:r w:rsidR="009779B1">
        <w:rPr>
          <w:lang w:val="en-US"/>
        </w:rPr>
        <w:t>In this case, t</w:t>
      </w:r>
      <w:r w:rsidR="009779B1" w:rsidRPr="009779B1">
        <w:rPr>
          <w:lang w:val="en-US"/>
        </w:rPr>
        <w:t>he executing Member State is not obliged to recognize and monitor the supervision measures.</w:t>
      </w:r>
      <w:r w:rsidR="009779B1" w:rsidRPr="009779B1">
        <w:rPr>
          <w:vertAlign w:val="superscript"/>
          <w:lang w:val="en-US"/>
        </w:rPr>
        <w:footnoteReference w:id="130"/>
      </w:r>
    </w:p>
    <w:p w14:paraId="639F74EC" w14:textId="77777777" w:rsidR="009779B1" w:rsidRDefault="009779B1" w:rsidP="00777A20">
      <w:pPr>
        <w:spacing w:line="360" w:lineRule="auto"/>
        <w:jc w:val="both"/>
        <w:rPr>
          <w:color w:val="FF0000"/>
          <w:lang w:val="en-GB"/>
        </w:rPr>
      </w:pPr>
    </w:p>
    <w:p w14:paraId="0ECAE181" w14:textId="58A38660" w:rsidR="00C1308E" w:rsidRPr="002B2DC3" w:rsidRDefault="001B1053" w:rsidP="00777A20">
      <w:pPr>
        <w:spacing w:line="360" w:lineRule="auto"/>
        <w:jc w:val="both"/>
        <w:rPr>
          <w:color w:val="FF0000"/>
          <w:lang w:val="en-GB"/>
        </w:rPr>
      </w:pPr>
      <w:r w:rsidRPr="002B2DC3">
        <w:rPr>
          <w:color w:val="FF0000"/>
          <w:lang w:val="en-GB"/>
        </w:rPr>
        <w:t xml:space="preserve">Directive 2014/41 sets rules that apply to ‘all stages of criminal proceedings, including the trial phase’ (recital (25). </w:t>
      </w:r>
      <w:r w:rsidR="0064160D" w:rsidRPr="002B2DC3">
        <w:rPr>
          <w:color w:val="FF0000"/>
          <w:lang w:val="en-GB"/>
        </w:rPr>
        <w:t>At the same time</w:t>
      </w:r>
      <w:r w:rsidRPr="002B2DC3">
        <w:rPr>
          <w:color w:val="FF0000"/>
          <w:lang w:val="en-GB"/>
        </w:rPr>
        <w:t>, these rules pertain to carrying out ‘investigative’ measures ‘with a view to gathering evidence’</w:t>
      </w:r>
      <w:r w:rsidR="00D16DEC" w:rsidRPr="002B2DC3">
        <w:rPr>
          <w:color w:val="FF0000"/>
          <w:lang w:val="en-GB"/>
        </w:rPr>
        <w:t xml:space="preserve"> (recital (25))</w:t>
      </w:r>
      <w:r w:rsidRPr="002B2DC3">
        <w:rPr>
          <w:color w:val="FF0000"/>
          <w:lang w:val="en-GB"/>
        </w:rPr>
        <w:t xml:space="preserve">. </w:t>
      </w:r>
    </w:p>
    <w:p w14:paraId="5C24A903" w14:textId="0937BF7D" w:rsidR="00AA0269" w:rsidRDefault="00AA0269" w:rsidP="00777A20">
      <w:pPr>
        <w:spacing w:line="360" w:lineRule="auto"/>
        <w:ind w:left="567"/>
        <w:jc w:val="both"/>
        <w:rPr>
          <w:color w:val="FF0000"/>
          <w:lang w:val="en-GB"/>
        </w:rPr>
      </w:pPr>
      <w:bookmarkStart w:id="125" w:name="_Hlk149577797"/>
      <w:r w:rsidRPr="00353C2A">
        <w:rPr>
          <w:color w:val="FF0000"/>
          <w:u w:val="single"/>
          <w:lang w:val="en-GB"/>
        </w:rPr>
        <w:t>Under Directive 2014/41</w:t>
      </w:r>
      <w:r w:rsidRPr="00353C2A">
        <w:rPr>
          <w:color w:val="FF0000"/>
          <w:lang w:val="en-GB"/>
        </w:rPr>
        <w:t xml:space="preserve">, is a videoconference possible </w:t>
      </w:r>
      <w:r w:rsidR="001B1053" w:rsidRPr="00F44757">
        <w:rPr>
          <w:color w:val="FF0000"/>
          <w:lang w:val="en-GB"/>
        </w:rPr>
        <w:t>with the sole purpose of ensuring the presence of the accused at the trial (i.e. without the purpose of gathering evidence)? If not: is such a videoconference possible without issuing an EIO?</w:t>
      </w:r>
      <w:r w:rsidR="001B1053" w:rsidRPr="00F44757">
        <w:rPr>
          <w:color w:val="FF0000"/>
          <w:vertAlign w:val="superscript"/>
          <w:lang w:val="en-GB"/>
        </w:rPr>
        <w:footnoteReference w:id="131"/>
      </w:r>
      <w:r w:rsidR="00C1308E" w:rsidRPr="00F44757">
        <w:rPr>
          <w:color w:val="FF0000"/>
          <w:lang w:val="en-GB"/>
        </w:rPr>
        <w:t xml:space="preserve"> Is a videoconference possible for the purpose of interrogation of the accused at the trial by the trial court? If not: is such a videoconference possible without issuing an EIO?</w:t>
      </w:r>
    </w:p>
    <w:p w14:paraId="1539DEAB" w14:textId="77777777" w:rsidR="00F65193" w:rsidRDefault="00F65193" w:rsidP="00777A20">
      <w:pPr>
        <w:spacing w:line="360" w:lineRule="auto"/>
        <w:ind w:left="567"/>
        <w:jc w:val="both"/>
        <w:rPr>
          <w:color w:val="FF0000"/>
          <w:lang w:val="en-GB"/>
        </w:rPr>
      </w:pPr>
    </w:p>
    <w:p w14:paraId="682003DC" w14:textId="21B2CBE6" w:rsidR="00F65193" w:rsidRPr="00F65193" w:rsidRDefault="00F65193" w:rsidP="00F65193">
      <w:pPr>
        <w:spacing w:line="360" w:lineRule="auto"/>
        <w:jc w:val="both"/>
        <w:rPr>
          <w:lang w:val="en-US"/>
        </w:rPr>
      </w:pPr>
      <w:r>
        <w:rPr>
          <w:lang w:val="en-US"/>
        </w:rPr>
        <w:lastRenderedPageBreak/>
        <w:t xml:space="preserve">The considerations on scenario i) apply accordingly. </w:t>
      </w:r>
      <w:r w:rsidR="0018467D">
        <w:rPr>
          <w:lang w:val="en-US"/>
        </w:rPr>
        <w:t>T</w:t>
      </w:r>
      <w:r w:rsidRPr="00A34133">
        <w:rPr>
          <w:lang w:val="en-US"/>
        </w:rPr>
        <w:t xml:space="preserve">he </w:t>
      </w:r>
      <w:r w:rsidR="0018467D">
        <w:rPr>
          <w:lang w:val="en-US"/>
        </w:rPr>
        <w:t xml:space="preserve">trial </w:t>
      </w:r>
      <w:r w:rsidRPr="00A34133">
        <w:rPr>
          <w:lang w:val="en-US"/>
        </w:rPr>
        <w:t xml:space="preserve">court </w:t>
      </w:r>
      <w:r w:rsidRPr="0033147B">
        <w:rPr>
          <w:lang w:val="en-GB"/>
        </w:rPr>
        <w:t xml:space="preserve">may examine him by videoconference </w:t>
      </w:r>
      <w:r w:rsidR="0018467D" w:rsidRPr="0033147B">
        <w:rPr>
          <w:lang w:val="en-GB"/>
        </w:rPr>
        <w:t xml:space="preserve">and </w:t>
      </w:r>
      <w:r w:rsidRPr="00A34133">
        <w:rPr>
          <w:lang w:val="en-US"/>
        </w:rPr>
        <w:t>issue a</w:t>
      </w:r>
      <w:r w:rsidR="001C67F0">
        <w:rPr>
          <w:lang w:val="en-US"/>
        </w:rPr>
        <w:t>n</w:t>
      </w:r>
      <w:r w:rsidRPr="00A34133">
        <w:rPr>
          <w:lang w:val="en-US"/>
        </w:rPr>
        <w:t xml:space="preserve"> EIO to that end.</w:t>
      </w:r>
      <w:r w:rsidRPr="00A34133">
        <w:rPr>
          <w:vertAlign w:val="superscript"/>
          <w:lang w:val="en-US"/>
        </w:rPr>
        <w:footnoteReference w:id="132"/>
      </w:r>
    </w:p>
    <w:p w14:paraId="2F41028A" w14:textId="77777777" w:rsidR="00F65193" w:rsidRPr="00F44757" w:rsidRDefault="00F65193" w:rsidP="00777A20">
      <w:pPr>
        <w:spacing w:line="360" w:lineRule="auto"/>
        <w:ind w:left="567"/>
        <w:jc w:val="both"/>
        <w:rPr>
          <w:color w:val="FF0000"/>
          <w:lang w:val="en-GB"/>
        </w:rPr>
      </w:pPr>
    </w:p>
    <w:p w14:paraId="42E69690" w14:textId="0CCC95FD" w:rsidR="00C1308E" w:rsidRDefault="00C1308E" w:rsidP="00777A20">
      <w:pPr>
        <w:spacing w:line="360" w:lineRule="auto"/>
        <w:ind w:left="567"/>
        <w:jc w:val="both"/>
        <w:rPr>
          <w:color w:val="FF0000"/>
          <w:lang w:val="en-GB"/>
        </w:rPr>
      </w:pPr>
      <w:r w:rsidRPr="00F44757">
        <w:rPr>
          <w:color w:val="FF0000"/>
          <w:u w:val="single"/>
          <w:lang w:val="en-GB"/>
        </w:rPr>
        <w:t>Under Directive 2014/41</w:t>
      </w:r>
      <w:r w:rsidRPr="007269C1">
        <w:rPr>
          <w:color w:val="FF0000"/>
          <w:lang w:val="en-GB"/>
        </w:rPr>
        <w:t>, is a temporary transfer possible for the sole purpose of ensuring the presence of the accused at the trial (i.e. without the purpose of gathering evidence)? Is a temporary transfer possible for the purpose of interrogation of the accused at the trial by the trial court?</w:t>
      </w:r>
      <w:bookmarkEnd w:id="125"/>
    </w:p>
    <w:p w14:paraId="626BD06A" w14:textId="77777777" w:rsidR="00F65193" w:rsidRDefault="00F65193" w:rsidP="002F5B6B">
      <w:pPr>
        <w:spacing w:line="360" w:lineRule="auto"/>
        <w:jc w:val="both"/>
        <w:rPr>
          <w:lang w:val="en-US"/>
        </w:rPr>
      </w:pPr>
    </w:p>
    <w:p w14:paraId="0DA16F5A" w14:textId="6344FBA3" w:rsidR="002F5B6B" w:rsidRDefault="00F65193" w:rsidP="002F5B6B">
      <w:pPr>
        <w:spacing w:line="360" w:lineRule="auto"/>
        <w:jc w:val="both"/>
        <w:rPr>
          <w:color w:val="FF0000"/>
          <w:lang w:val="en-GB"/>
        </w:rPr>
      </w:pPr>
      <w:r>
        <w:rPr>
          <w:lang w:val="en-US"/>
        </w:rPr>
        <w:t>Again, the considerations on scenario i) apply accordingly. The transfer of an accused person who is detained in another Member State, cannot be requested by a</w:t>
      </w:r>
      <w:r w:rsidR="001C67F0">
        <w:rPr>
          <w:lang w:val="en-US"/>
        </w:rPr>
        <w:t>n</w:t>
      </w:r>
      <w:r>
        <w:rPr>
          <w:lang w:val="en-US"/>
        </w:rPr>
        <w:t xml:space="preserve"> EIO because the EAW is the suitable and primary cooperation instrument for the surrender of accused persons for the purpose of prosecution (recital (25) DR 2014/41/EU).</w:t>
      </w:r>
      <w:r>
        <w:rPr>
          <w:rStyle w:val="Funotenzeichen"/>
          <w:lang w:val="en-US"/>
        </w:rPr>
        <w:footnoteReference w:id="133"/>
      </w:r>
    </w:p>
    <w:p w14:paraId="7E856DD3" w14:textId="77777777" w:rsidR="009779B1" w:rsidRPr="007C69F7" w:rsidRDefault="009779B1" w:rsidP="009779B1">
      <w:pPr>
        <w:spacing w:line="360" w:lineRule="auto"/>
        <w:jc w:val="both"/>
        <w:rPr>
          <w:lang w:val="en-US"/>
        </w:rPr>
      </w:pPr>
    </w:p>
    <w:p w14:paraId="6C8C263E" w14:textId="3F4B2734" w:rsidR="00F65193" w:rsidRPr="00F65193" w:rsidRDefault="00F65193" w:rsidP="009779B1">
      <w:pPr>
        <w:spacing w:line="360" w:lineRule="auto"/>
        <w:jc w:val="both"/>
        <w:rPr>
          <w:lang w:val="en-US"/>
        </w:rPr>
      </w:pPr>
      <w:r w:rsidRPr="00F65193">
        <w:rPr>
          <w:lang w:val="en-US"/>
        </w:rPr>
        <w:t xml:space="preserve">If the accused person is detained in another </w:t>
      </w:r>
      <w:r>
        <w:rPr>
          <w:lang w:val="en-US"/>
        </w:rPr>
        <w:t xml:space="preserve">Member State, a summons </w:t>
      </w:r>
      <w:r w:rsidR="00020CFB">
        <w:rPr>
          <w:lang w:val="en-US"/>
        </w:rPr>
        <w:t xml:space="preserve">(Art. 5 EU Convention on Mutual Assistance) </w:t>
      </w:r>
      <w:r>
        <w:rPr>
          <w:lang w:val="en-US"/>
        </w:rPr>
        <w:t>will not be the suitable instrument to make that person to a</w:t>
      </w:r>
      <w:r w:rsidR="00A85513">
        <w:rPr>
          <w:lang w:val="en-US"/>
        </w:rPr>
        <w:t>ppear before court.</w:t>
      </w:r>
    </w:p>
    <w:p w14:paraId="2579A211" w14:textId="77777777" w:rsidR="00A85513" w:rsidRDefault="00A85513" w:rsidP="009779B1">
      <w:pPr>
        <w:spacing w:line="360" w:lineRule="auto"/>
        <w:jc w:val="both"/>
        <w:rPr>
          <w:lang w:val="en-US"/>
        </w:rPr>
      </w:pPr>
    </w:p>
    <w:p w14:paraId="0574B801" w14:textId="244097D0" w:rsidR="00AA0269" w:rsidRDefault="00A85513" w:rsidP="008A4075">
      <w:pPr>
        <w:spacing w:line="360" w:lineRule="auto"/>
        <w:jc w:val="both"/>
        <w:rPr>
          <w:lang w:val="en-US"/>
        </w:rPr>
      </w:pPr>
      <w:r>
        <w:rPr>
          <w:lang w:val="en-US"/>
        </w:rPr>
        <w:t>As has been elaborated for scenario i), criminal proceedings may still be transferred at the trial stage. This instrument might be an option where the German authorities have issued a</w:t>
      </w:r>
      <w:r w:rsidR="00127DD2">
        <w:rPr>
          <w:lang w:val="en-US"/>
        </w:rPr>
        <w:t>n</w:t>
      </w:r>
      <w:r>
        <w:rPr>
          <w:lang w:val="en-US"/>
        </w:rPr>
        <w:t xml:space="preserve"> EAW, but the executing Member State does not surrendered the accused person (</w:t>
      </w:r>
      <w:r>
        <w:rPr>
          <w:i/>
          <w:lang w:val="en-US"/>
        </w:rPr>
        <w:t xml:space="preserve">supra </w:t>
      </w:r>
      <w:r>
        <w:rPr>
          <w:lang w:val="en-US"/>
        </w:rPr>
        <w:t>2.1.1.).</w:t>
      </w:r>
    </w:p>
    <w:p w14:paraId="0B1CFC63" w14:textId="77777777" w:rsidR="00CA3957" w:rsidRPr="00344085" w:rsidRDefault="00CA3957" w:rsidP="008A4075">
      <w:pPr>
        <w:spacing w:line="360" w:lineRule="auto"/>
        <w:jc w:val="both"/>
        <w:rPr>
          <w:lang w:val="en-US"/>
        </w:rPr>
      </w:pPr>
    </w:p>
    <w:p w14:paraId="69C39EA8" w14:textId="3CDEFF12" w:rsidR="00AA0269" w:rsidRDefault="003D6AA1" w:rsidP="00777A20">
      <w:pPr>
        <w:pStyle w:val="berschrift2"/>
        <w:numPr>
          <w:ilvl w:val="1"/>
          <w:numId w:val="15"/>
        </w:numPr>
        <w:ind w:left="567" w:firstLine="0"/>
        <w:rPr>
          <w:lang w:val="en-GB"/>
        </w:rPr>
      </w:pPr>
      <w:bookmarkStart w:id="126" w:name="_Toc147328924"/>
      <w:bookmarkStart w:id="127" w:name="_Toc147328972"/>
      <w:bookmarkStart w:id="128" w:name="_Toc147329084"/>
      <w:bookmarkStart w:id="129" w:name="_Toc170228514"/>
      <w:r>
        <w:rPr>
          <w:lang w:val="en-GB"/>
        </w:rPr>
        <w:t>Applicability and a</w:t>
      </w:r>
      <w:r w:rsidR="00AA0269">
        <w:rPr>
          <w:lang w:val="en-GB"/>
        </w:rPr>
        <w:t>pplication of the instruments at the pre-trial stage</w:t>
      </w:r>
      <w:bookmarkEnd w:id="126"/>
      <w:bookmarkEnd w:id="127"/>
      <w:bookmarkEnd w:id="128"/>
      <w:r>
        <w:rPr>
          <w:lang w:val="en-GB"/>
        </w:rPr>
        <w:t xml:space="preserve"> according to national law</w:t>
      </w:r>
      <w:bookmarkEnd w:id="129"/>
    </w:p>
    <w:p w14:paraId="10AA77E3" w14:textId="77777777" w:rsidR="00AA0269" w:rsidRPr="003A5F21" w:rsidRDefault="00AA0269" w:rsidP="00777A20">
      <w:pPr>
        <w:jc w:val="both"/>
        <w:rPr>
          <w:b/>
          <w:color w:val="FF0000"/>
          <w:lang w:val="en-GB"/>
        </w:rPr>
      </w:pPr>
      <w:r>
        <w:rPr>
          <w:b/>
          <w:color w:val="FF0000"/>
          <w:lang w:val="en-GB"/>
        </w:rPr>
        <w:t>General introduction</w:t>
      </w:r>
    </w:p>
    <w:p w14:paraId="76C605AB" w14:textId="77777777" w:rsidR="00AA0269" w:rsidRDefault="00AA0269" w:rsidP="00777A20">
      <w:pPr>
        <w:jc w:val="both"/>
        <w:rPr>
          <w:lang w:val="en-GB"/>
        </w:rPr>
      </w:pPr>
    </w:p>
    <w:p w14:paraId="565EA772" w14:textId="77777777" w:rsidR="00CE3EDE" w:rsidRDefault="00AA0269" w:rsidP="00777A20">
      <w:pPr>
        <w:spacing w:line="360" w:lineRule="auto"/>
        <w:jc w:val="both"/>
        <w:rPr>
          <w:color w:val="FF0000"/>
          <w:lang w:val="en-GB"/>
        </w:rPr>
      </w:pPr>
      <w:r w:rsidRPr="00AA0269">
        <w:rPr>
          <w:color w:val="FF0000"/>
          <w:lang w:val="en-GB"/>
        </w:rPr>
        <w:t xml:space="preserve">In this section, the object is to tie instruments that are applicable </w:t>
      </w:r>
      <w:r w:rsidRPr="00AA0269">
        <w:rPr>
          <w:i/>
          <w:iCs/>
          <w:color w:val="FF0000"/>
          <w:lang w:val="en-GB"/>
        </w:rPr>
        <w:t>in abstracto</w:t>
      </w:r>
      <w:r w:rsidRPr="00AA0269">
        <w:rPr>
          <w:color w:val="FF0000"/>
          <w:lang w:val="en-GB"/>
        </w:rPr>
        <w:t xml:space="preserve"> in the various (sub)stages of the pre-trial stage to </w:t>
      </w:r>
      <w:r w:rsidRPr="00AA0269">
        <w:rPr>
          <w:i/>
          <w:iCs/>
          <w:color w:val="FF0000"/>
          <w:lang w:val="en-GB"/>
        </w:rPr>
        <w:t>specific</w:t>
      </w:r>
      <w:r w:rsidRPr="00AA0269">
        <w:rPr>
          <w:color w:val="FF0000"/>
          <w:lang w:val="en-GB"/>
        </w:rPr>
        <w:t xml:space="preserve"> needs for judicial cooperation. </w:t>
      </w:r>
    </w:p>
    <w:p w14:paraId="52A52411" w14:textId="77777777" w:rsidR="00CE3EDE" w:rsidRDefault="00CE3EDE" w:rsidP="00777A20">
      <w:pPr>
        <w:spacing w:line="360" w:lineRule="auto"/>
        <w:jc w:val="both"/>
        <w:rPr>
          <w:color w:val="FF0000"/>
          <w:lang w:val="en-GB"/>
        </w:rPr>
      </w:pPr>
    </w:p>
    <w:p w14:paraId="4F64372A" w14:textId="77777777" w:rsidR="00CE3EDE" w:rsidRDefault="00CE3EDE" w:rsidP="00CE3EDE">
      <w:pPr>
        <w:spacing w:line="360" w:lineRule="auto"/>
        <w:ind w:left="567" w:right="804"/>
        <w:jc w:val="both"/>
        <w:rPr>
          <w:color w:val="FF0000"/>
          <w:lang w:val="en-GB"/>
        </w:rPr>
      </w:pPr>
      <w:r>
        <w:rPr>
          <w:color w:val="FF0000"/>
          <w:lang w:val="en-GB"/>
        </w:rPr>
        <w:lastRenderedPageBreak/>
        <w:t xml:space="preserve">This presupposes that the instruments that are applicable </w:t>
      </w:r>
      <w:r w:rsidRPr="00104B01">
        <w:rPr>
          <w:i/>
          <w:iCs/>
          <w:color w:val="FF0000"/>
          <w:lang w:val="en-GB"/>
        </w:rPr>
        <w:t>in abstracto</w:t>
      </w:r>
      <w:r>
        <w:rPr>
          <w:color w:val="FF0000"/>
          <w:lang w:val="en-GB"/>
        </w:rPr>
        <w:t xml:space="preserve"> according to both EU law (see paragraph 2.1) and </w:t>
      </w:r>
      <w:r w:rsidRPr="00104B01">
        <w:rPr>
          <w:i/>
          <w:iCs/>
          <w:color w:val="FF0000"/>
          <w:lang w:val="en-GB"/>
        </w:rPr>
        <w:t>national law</w:t>
      </w:r>
      <w:r>
        <w:rPr>
          <w:color w:val="FF0000"/>
          <w:lang w:val="en-GB"/>
        </w:rPr>
        <w:t xml:space="preserve">. If there are </w:t>
      </w:r>
      <w:r w:rsidRPr="0028634F">
        <w:rPr>
          <w:color w:val="FF0000"/>
          <w:lang w:val="en-GB"/>
        </w:rPr>
        <w:t xml:space="preserve">applicability issues </w:t>
      </w:r>
      <w:r>
        <w:rPr>
          <w:color w:val="FF0000"/>
          <w:lang w:val="en-GB"/>
        </w:rPr>
        <w:t xml:space="preserve">according </w:t>
      </w:r>
      <w:r w:rsidRPr="0028634F">
        <w:rPr>
          <w:color w:val="FF0000"/>
          <w:lang w:val="en-GB"/>
        </w:rPr>
        <w:t>to national law</w:t>
      </w:r>
      <w:r>
        <w:rPr>
          <w:color w:val="FF0000"/>
          <w:lang w:val="en-GB"/>
        </w:rPr>
        <w:t xml:space="preserve"> concerning the pre-trial stage,</w:t>
      </w:r>
      <w:r w:rsidRPr="0028634F">
        <w:rPr>
          <w:color w:val="FF0000"/>
          <w:lang w:val="en-GB"/>
        </w:rPr>
        <w:t xml:space="preserve"> </w:t>
      </w:r>
      <w:r>
        <w:rPr>
          <w:color w:val="FF0000"/>
          <w:lang w:val="en-GB"/>
        </w:rPr>
        <w:t>the NARs</w:t>
      </w:r>
      <w:r w:rsidRPr="00AA0269">
        <w:rPr>
          <w:color w:val="FF0000"/>
          <w:lang w:val="en-GB"/>
        </w:rPr>
        <w:t xml:space="preserve"> </w:t>
      </w:r>
      <w:r>
        <w:rPr>
          <w:color w:val="FF0000"/>
          <w:lang w:val="en-GB"/>
        </w:rPr>
        <w:t xml:space="preserve">are requested to address them in this paragraph.  </w:t>
      </w:r>
    </w:p>
    <w:p w14:paraId="32AA6EAA" w14:textId="77777777" w:rsidR="00CE3EDE" w:rsidRDefault="00CE3EDE" w:rsidP="00777A20">
      <w:pPr>
        <w:spacing w:line="360" w:lineRule="auto"/>
        <w:jc w:val="both"/>
        <w:rPr>
          <w:color w:val="FF0000"/>
          <w:lang w:val="en-GB"/>
        </w:rPr>
      </w:pPr>
    </w:p>
    <w:p w14:paraId="25D478E5" w14:textId="404A2529" w:rsidR="00AA0269" w:rsidRPr="00AA0269" w:rsidRDefault="00AA0269" w:rsidP="00777A20">
      <w:pPr>
        <w:spacing w:line="360" w:lineRule="auto"/>
        <w:jc w:val="both"/>
        <w:rPr>
          <w:color w:val="FF0000"/>
          <w:lang w:val="en-GB"/>
        </w:rPr>
      </w:pPr>
      <w:r w:rsidRPr="00AA0269">
        <w:rPr>
          <w:color w:val="FF0000"/>
          <w:lang w:val="en-GB"/>
        </w:rPr>
        <w:t xml:space="preserve">Given our person based approach and given the focus on (alternatives to) measures concerning deprivation of liberty, in the pre-trial stage </w:t>
      </w:r>
      <w:r w:rsidR="003D6AA1">
        <w:rPr>
          <w:color w:val="FF0000"/>
          <w:lang w:val="en-GB"/>
        </w:rPr>
        <w:t>the specific</w:t>
      </w:r>
      <w:r w:rsidRPr="00AA0269">
        <w:rPr>
          <w:color w:val="FF0000"/>
          <w:lang w:val="en-GB"/>
        </w:rPr>
        <w:t xml:space="preserve"> needs </w:t>
      </w:r>
      <w:r w:rsidR="003D6AA1">
        <w:rPr>
          <w:color w:val="FF0000"/>
          <w:lang w:val="en-GB"/>
        </w:rPr>
        <w:t xml:space="preserve">for judicial cooperation </w:t>
      </w:r>
      <w:r w:rsidRPr="00AA0269">
        <w:rPr>
          <w:color w:val="FF0000"/>
          <w:lang w:val="en-GB"/>
        </w:rPr>
        <w:t>are basically twofold:</w:t>
      </w:r>
    </w:p>
    <w:p w14:paraId="632EA1C3" w14:textId="77777777" w:rsidR="00AA0269" w:rsidRPr="00AA0269" w:rsidRDefault="00AA0269" w:rsidP="00777A20">
      <w:pPr>
        <w:spacing w:line="360" w:lineRule="auto"/>
        <w:jc w:val="both"/>
        <w:rPr>
          <w:color w:val="FF0000"/>
          <w:lang w:val="en-GB"/>
        </w:rPr>
      </w:pPr>
      <w:bookmarkStart w:id="130" w:name="_Hlk141790229"/>
    </w:p>
    <w:p w14:paraId="0F009501" w14:textId="77777777" w:rsidR="00AA0269" w:rsidRPr="00AA0269" w:rsidRDefault="00AA0269" w:rsidP="00777A20">
      <w:pPr>
        <w:numPr>
          <w:ilvl w:val="0"/>
          <w:numId w:val="30"/>
        </w:numPr>
        <w:spacing w:line="360" w:lineRule="auto"/>
        <w:ind w:left="1560" w:hanging="709"/>
        <w:contextualSpacing/>
        <w:jc w:val="both"/>
        <w:rPr>
          <w:color w:val="FF0000"/>
          <w:kern w:val="2"/>
          <w:lang w:val="en-GB"/>
          <w14:ligatures w14:val="standardContextual"/>
        </w:rPr>
      </w:pPr>
      <w:bookmarkStart w:id="131" w:name="_Hlk144382828"/>
      <w:r w:rsidRPr="00AA0269">
        <w:rPr>
          <w:color w:val="FF0000"/>
          <w:kern w:val="2"/>
          <w:lang w:val="en-GB"/>
          <w14:ligatures w14:val="standardContextual"/>
        </w:rPr>
        <w:t>executing investigative measures/prosecution such as interrogating the suspect or executing a confrontation (if he is present in another MS)</w:t>
      </w:r>
      <w:bookmarkEnd w:id="131"/>
      <w:r w:rsidRPr="00AA0269">
        <w:rPr>
          <w:color w:val="FF0000"/>
          <w:kern w:val="2"/>
          <w:lang w:val="en-GB"/>
          <w14:ligatures w14:val="standardContextual"/>
        </w:rPr>
        <w:t>;</w:t>
      </w:r>
      <w:r w:rsidRPr="00AA0269">
        <w:rPr>
          <w:color w:val="FF0000"/>
          <w:kern w:val="2"/>
          <w:vertAlign w:val="superscript"/>
          <w:lang w:val="en-GB"/>
          <w14:ligatures w14:val="standardContextual"/>
        </w:rPr>
        <w:footnoteReference w:id="134"/>
      </w:r>
      <w:bookmarkStart w:id="132" w:name="_Hlk141781471"/>
    </w:p>
    <w:p w14:paraId="35B230BB" w14:textId="5D89DB8C" w:rsidR="00AA0269" w:rsidRPr="00084B4D" w:rsidRDefault="00AA0269" w:rsidP="005C4C46">
      <w:pPr>
        <w:numPr>
          <w:ilvl w:val="0"/>
          <w:numId w:val="30"/>
        </w:numPr>
        <w:spacing w:line="360" w:lineRule="auto"/>
        <w:ind w:left="1560" w:hanging="709"/>
        <w:contextualSpacing/>
        <w:jc w:val="both"/>
        <w:rPr>
          <w:color w:val="FF0000"/>
          <w:lang w:val="en-GB"/>
        </w:rPr>
      </w:pPr>
      <w:r w:rsidRPr="00AA0269">
        <w:rPr>
          <w:color w:val="FF0000"/>
          <w:kern w:val="2"/>
          <w:lang w:val="en-GB"/>
          <w14:ligatures w14:val="standardContextual"/>
        </w:rPr>
        <w:t xml:space="preserve">ensuring that the suspect is available to the competent authority for the purpose of investigative measures/prosecution (whether </w:t>
      </w:r>
      <w:r w:rsidRPr="00AA0269">
        <w:rPr>
          <w:color w:val="FF0000"/>
          <w:lang w:val="en-GB"/>
        </w:rPr>
        <w:t>or not he is present in the issuing MS).</w:t>
      </w:r>
      <w:r w:rsidRPr="00AA0269">
        <w:rPr>
          <w:color w:val="FF0000"/>
          <w:vertAlign w:val="superscript"/>
          <w:lang w:val="en-GB"/>
        </w:rPr>
        <w:footnoteReference w:id="135"/>
      </w:r>
      <w:r w:rsidRPr="00AA0269">
        <w:rPr>
          <w:color w:val="FF0000"/>
          <w:lang w:val="en-GB"/>
        </w:rPr>
        <w:t xml:space="preserve"> This means ensuring that the competent authority can reach the suspect for such measures as an interrogation, a confrontation </w:t>
      </w:r>
      <w:r w:rsidRPr="00AA0269">
        <w:rPr>
          <w:i/>
          <w:iCs/>
          <w:color w:val="FF0000"/>
          <w:lang w:val="en-GB"/>
        </w:rPr>
        <w:t>et cetera</w:t>
      </w:r>
      <w:r w:rsidRPr="00AA0269">
        <w:rPr>
          <w:color w:val="FF0000"/>
          <w:lang w:val="en-GB"/>
        </w:rPr>
        <w:t>.</w:t>
      </w:r>
      <w:r w:rsidRPr="00AA0269">
        <w:rPr>
          <w:color w:val="FF0000"/>
          <w:vertAlign w:val="superscript"/>
          <w:lang w:val="en-GB"/>
        </w:rPr>
        <w:footnoteReference w:id="136"/>
      </w:r>
      <w:r w:rsidRPr="00AA0269">
        <w:rPr>
          <w:color w:val="FF0000"/>
          <w:lang w:val="en-GB"/>
        </w:rPr>
        <w:t xml:space="preserve"> </w:t>
      </w:r>
      <w:bookmarkEnd w:id="130"/>
      <w:bookmarkEnd w:id="132"/>
    </w:p>
    <w:p w14:paraId="10043866" w14:textId="77777777" w:rsidR="00AA0269" w:rsidRPr="00AA0269" w:rsidRDefault="00AA0269" w:rsidP="00777A20">
      <w:pPr>
        <w:spacing w:line="360" w:lineRule="auto"/>
        <w:jc w:val="both"/>
        <w:rPr>
          <w:color w:val="FF0000"/>
          <w:lang w:val="en-GB"/>
        </w:rPr>
      </w:pPr>
      <w:r w:rsidRPr="00AA0269">
        <w:rPr>
          <w:color w:val="FF0000"/>
          <w:lang w:val="en-GB"/>
        </w:rPr>
        <w:t>However, as a safety-valve, we have included the option ‘(dd) other?’</w:t>
      </w:r>
      <w:r w:rsidRPr="00AA0269">
        <w:rPr>
          <w:color w:val="FF0000"/>
          <w:vertAlign w:val="superscript"/>
          <w:lang w:val="en-GB"/>
        </w:rPr>
        <w:footnoteReference w:id="137"/>
      </w:r>
      <w:r w:rsidRPr="00AA0269">
        <w:rPr>
          <w:color w:val="FF0000"/>
          <w:lang w:val="en-GB"/>
        </w:rPr>
        <w:t xml:space="preserve"> </w:t>
      </w:r>
    </w:p>
    <w:p w14:paraId="0CF458F4" w14:textId="77777777" w:rsidR="00AA0269" w:rsidRPr="00AA0269" w:rsidRDefault="00AA0269" w:rsidP="00777A20">
      <w:pPr>
        <w:spacing w:line="360" w:lineRule="auto"/>
        <w:jc w:val="both"/>
        <w:rPr>
          <w:color w:val="FF0000"/>
          <w:lang w:val="en-GB"/>
        </w:rPr>
      </w:pPr>
    </w:p>
    <w:p w14:paraId="15054F73" w14:textId="56FD15D9" w:rsidR="00AA0269" w:rsidRPr="00F44757" w:rsidRDefault="00AA0269" w:rsidP="00777A20">
      <w:pPr>
        <w:spacing w:line="360" w:lineRule="auto"/>
        <w:jc w:val="both"/>
        <w:rPr>
          <w:color w:val="FF0000"/>
          <w:lang w:val="en-GB"/>
        </w:rPr>
      </w:pPr>
      <w:r w:rsidRPr="00AA0269">
        <w:rPr>
          <w:color w:val="FF0000"/>
          <w:lang w:val="en-GB"/>
        </w:rPr>
        <w:t>With regard to each substage and each subdivision of each substage (present in issuing MS/present in another MS; detention on remand not possible/detention on remand possible; detention on remand possible but not ordered/detention on remand ordered) the NAR will first describe which national authority is in charge of the investigation/prosecution at that stage and, with regard to each specific need for judicial cooperation, which national authority is competent to request that form of judicial cooperation at that stage.</w:t>
      </w:r>
      <w:r w:rsidRPr="00AA0269">
        <w:rPr>
          <w:color w:val="FF0000"/>
          <w:vertAlign w:val="superscript"/>
          <w:lang w:val="en-GB"/>
        </w:rPr>
        <w:footnoteReference w:id="138"/>
      </w:r>
      <w:r w:rsidRPr="00AA0269">
        <w:rPr>
          <w:color w:val="FF0000"/>
          <w:lang w:val="en-GB"/>
        </w:rPr>
        <w:t xml:space="preserve"> Please be as concrete as possible: do not just mention ‘the Public Prosecutor’s Office’ or ‘the court’, but specify to which tier of jurisdiction the competent authorities belong, e.g. </w:t>
      </w:r>
      <w:bookmarkStart w:id="133" w:name="_Hlk148686789"/>
      <w:r w:rsidRPr="00AA0269">
        <w:rPr>
          <w:color w:val="FF0000"/>
          <w:lang w:val="en-GB"/>
        </w:rPr>
        <w:t>‘the Public Prosecutor’s Office at the first instance court’ or ‘the first instance court’</w:t>
      </w:r>
      <w:bookmarkEnd w:id="133"/>
      <w:r w:rsidR="00C233B2">
        <w:rPr>
          <w:color w:val="FF0000"/>
          <w:lang w:val="en-GB"/>
        </w:rPr>
        <w:t xml:space="preserve"> </w:t>
      </w:r>
      <w:r w:rsidR="00C233B2" w:rsidRPr="00F44757">
        <w:rPr>
          <w:color w:val="FF0000"/>
          <w:lang w:val="en-GB"/>
        </w:rPr>
        <w:t>and, where relevant, specify their territorial competence, e.g. ‘the Public Prosecutor’s Office at the first instance court in X’ or ‘the first instance court in X’</w:t>
      </w:r>
      <w:r w:rsidRPr="00F44757">
        <w:rPr>
          <w:color w:val="FF0000"/>
          <w:lang w:val="en-GB"/>
        </w:rPr>
        <w:t xml:space="preserve">.    </w:t>
      </w:r>
    </w:p>
    <w:p w14:paraId="07C5BB35" w14:textId="77777777" w:rsidR="00AA0269" w:rsidRPr="00F44757" w:rsidRDefault="00AA0269" w:rsidP="00777A20">
      <w:pPr>
        <w:spacing w:line="360" w:lineRule="auto"/>
        <w:jc w:val="both"/>
        <w:rPr>
          <w:color w:val="FF0000"/>
          <w:lang w:val="en-GB"/>
        </w:rPr>
      </w:pPr>
    </w:p>
    <w:p w14:paraId="47AB9E38" w14:textId="450EF591" w:rsidR="00AA0269" w:rsidRPr="00AA0269" w:rsidRDefault="00AA0269" w:rsidP="00777A20">
      <w:pPr>
        <w:spacing w:line="360" w:lineRule="auto"/>
        <w:jc w:val="both"/>
        <w:rPr>
          <w:color w:val="FF0000"/>
          <w:lang w:val="en-GB"/>
        </w:rPr>
      </w:pPr>
      <w:r w:rsidRPr="00AA0269">
        <w:rPr>
          <w:color w:val="FF0000"/>
          <w:lang w:val="en-GB"/>
        </w:rPr>
        <w:lastRenderedPageBreak/>
        <w:t>The NAR will examine whether the competent national authority takes into account less intrusive alternatives when deciding on which form of judicial cooperation to request and which instrument(s) to apply. The NAR will describe in a factual way which considerations play a role</w:t>
      </w:r>
      <w:r w:rsidRPr="00AA0269">
        <w:rPr>
          <w:color w:val="FF0000"/>
          <w:vertAlign w:val="superscript"/>
          <w:lang w:val="en-GB"/>
        </w:rPr>
        <w:footnoteReference w:id="139"/>
      </w:r>
      <w:r w:rsidRPr="00AA0269">
        <w:rPr>
          <w:color w:val="FF0000"/>
          <w:lang w:val="en-GB"/>
        </w:rPr>
        <w:t xml:space="preserve"> when the competent national authority has to take that decision. To that end</w:t>
      </w:r>
      <w:r w:rsidR="006601C1">
        <w:rPr>
          <w:color w:val="FF0000"/>
          <w:lang w:val="en-GB"/>
        </w:rPr>
        <w:t>,</w:t>
      </w:r>
      <w:r w:rsidRPr="00AA0269">
        <w:rPr>
          <w:color w:val="FF0000"/>
          <w:lang w:val="en-GB"/>
        </w:rPr>
        <w:t xml:space="preserve"> the NARs will (also) endeavour to ascertain whether: </w:t>
      </w:r>
    </w:p>
    <w:p w14:paraId="1DE1AC81" w14:textId="77777777" w:rsidR="00AA0269" w:rsidRPr="00B54B8E" w:rsidRDefault="00AA0269" w:rsidP="00777A20">
      <w:pPr>
        <w:pStyle w:val="Listenabsatz"/>
        <w:numPr>
          <w:ilvl w:val="0"/>
          <w:numId w:val="31"/>
        </w:numPr>
        <w:spacing w:line="360" w:lineRule="auto"/>
        <w:jc w:val="both"/>
        <w:rPr>
          <w:color w:val="FF0000"/>
          <w:lang w:val="en-GB"/>
        </w:rPr>
      </w:pPr>
      <w:r w:rsidRPr="00B54B8E">
        <w:rPr>
          <w:color w:val="FF0000"/>
          <w:lang w:val="en-GB"/>
        </w:rPr>
        <w:t>the impact on the right to liberty, if any, is taken into account and whether there are alternatives to (pre-trial) detention (cf. the Recommendation on the procedural rights of suspects an accused persons subject to pre-trial detention and on material detention conditions);</w:t>
      </w:r>
      <w:r w:rsidRPr="00C63F4A">
        <w:rPr>
          <w:color w:val="FF0000"/>
          <w:vertAlign w:val="superscript"/>
          <w:lang w:val="en-GB"/>
        </w:rPr>
        <w:footnoteReference w:id="140"/>
      </w:r>
    </w:p>
    <w:p w14:paraId="75A38263" w14:textId="77777777" w:rsidR="00AA0269" w:rsidRPr="00B54B8E" w:rsidRDefault="00AA0269" w:rsidP="00777A20">
      <w:pPr>
        <w:pStyle w:val="Listenabsatz"/>
        <w:numPr>
          <w:ilvl w:val="0"/>
          <w:numId w:val="31"/>
        </w:numPr>
        <w:spacing w:line="360" w:lineRule="auto"/>
        <w:jc w:val="both"/>
        <w:rPr>
          <w:color w:val="FF0000"/>
          <w:lang w:val="en-GB"/>
        </w:rPr>
      </w:pPr>
      <w:r w:rsidRPr="00B54B8E">
        <w:rPr>
          <w:color w:val="FF0000"/>
          <w:lang w:val="en-GB"/>
        </w:rPr>
        <w:t xml:space="preserve">the national attribution of competence hinders or impairs considering such alternatives; </w:t>
      </w:r>
    </w:p>
    <w:p w14:paraId="1CCE12A4" w14:textId="77777777" w:rsidR="00AA0269" w:rsidRPr="00B54B8E" w:rsidRDefault="00AA0269" w:rsidP="00777A20">
      <w:pPr>
        <w:pStyle w:val="Listenabsatz"/>
        <w:numPr>
          <w:ilvl w:val="0"/>
          <w:numId w:val="31"/>
        </w:numPr>
        <w:spacing w:line="360" w:lineRule="auto"/>
        <w:jc w:val="both"/>
        <w:rPr>
          <w:color w:val="FF0000"/>
          <w:lang w:val="en-GB"/>
        </w:rPr>
      </w:pPr>
      <w:r w:rsidRPr="00B54B8E">
        <w:rPr>
          <w:color w:val="FF0000"/>
          <w:lang w:val="en-GB"/>
        </w:rPr>
        <w:t>the impact on free movement rights, if any, is taken into account;</w:t>
      </w:r>
    </w:p>
    <w:p w14:paraId="28ADEF07" w14:textId="59F02340" w:rsidR="00AA0269" w:rsidRPr="00B54B8E" w:rsidRDefault="00AA0269" w:rsidP="00777A20">
      <w:pPr>
        <w:pStyle w:val="Listenabsatz"/>
        <w:numPr>
          <w:ilvl w:val="0"/>
          <w:numId w:val="31"/>
        </w:numPr>
        <w:spacing w:line="360" w:lineRule="auto"/>
        <w:jc w:val="both"/>
        <w:rPr>
          <w:color w:val="FF0000"/>
          <w:lang w:val="en-GB"/>
        </w:rPr>
      </w:pPr>
      <w:r w:rsidRPr="00B54B8E">
        <w:rPr>
          <w:color w:val="FF0000"/>
          <w:lang w:val="en-GB"/>
        </w:rPr>
        <w:t xml:space="preserve">the fact that a previous request for judicial cooperation was unsuccessful is taken </w:t>
      </w:r>
      <w:r w:rsidR="00A078F8">
        <w:rPr>
          <w:color w:val="FF0000"/>
          <w:lang w:val="en-GB"/>
        </w:rPr>
        <w:t>into account</w:t>
      </w:r>
      <w:r w:rsidRPr="00B54B8E">
        <w:rPr>
          <w:color w:val="FF0000"/>
          <w:lang w:val="en-GB"/>
        </w:rPr>
        <w:t xml:space="preserve"> when taking further decisions and, if so, in which way;</w:t>
      </w:r>
    </w:p>
    <w:p w14:paraId="33B7A407" w14:textId="0CCDD69D" w:rsidR="00AA0269" w:rsidRPr="00B54B8E" w:rsidRDefault="00AA0269" w:rsidP="00777A20">
      <w:pPr>
        <w:pStyle w:val="Listenabsatz"/>
        <w:numPr>
          <w:ilvl w:val="0"/>
          <w:numId w:val="31"/>
        </w:numPr>
        <w:spacing w:line="360" w:lineRule="auto"/>
        <w:jc w:val="both"/>
        <w:rPr>
          <w:color w:val="FF0000"/>
          <w:lang w:val="en-GB"/>
        </w:rPr>
      </w:pPr>
      <w:r w:rsidRPr="00B54B8E">
        <w:rPr>
          <w:color w:val="FF0000"/>
          <w:lang w:val="en-GB"/>
        </w:rPr>
        <w:t xml:space="preserve">the possibility that requesting judicial cooperation might prejudice future decisions on seeking judicial cooperation </w:t>
      </w:r>
      <w:r w:rsidR="00A078F8" w:rsidRPr="00F44757">
        <w:rPr>
          <w:color w:val="FF0000"/>
          <w:lang w:val="en-GB"/>
        </w:rPr>
        <w:t xml:space="preserve">is taken into account </w:t>
      </w:r>
      <w:r w:rsidRPr="00B54B8E">
        <w:rPr>
          <w:color w:val="FF0000"/>
          <w:lang w:val="en-GB"/>
        </w:rPr>
        <w:t>and, if so, in what way;</w:t>
      </w:r>
      <w:r w:rsidRPr="00C63F4A">
        <w:rPr>
          <w:color w:val="FF0000"/>
          <w:vertAlign w:val="superscript"/>
          <w:lang w:val="en-GB"/>
        </w:rPr>
        <w:footnoteReference w:id="141"/>
      </w:r>
    </w:p>
    <w:p w14:paraId="271C7B22" w14:textId="30F70E43" w:rsidR="00AA0269" w:rsidRPr="00B54B8E" w:rsidRDefault="00AA0269" w:rsidP="00777A20">
      <w:pPr>
        <w:pStyle w:val="Listenabsatz"/>
        <w:numPr>
          <w:ilvl w:val="0"/>
          <w:numId w:val="31"/>
        </w:numPr>
        <w:spacing w:line="360" w:lineRule="auto"/>
        <w:jc w:val="both"/>
        <w:rPr>
          <w:color w:val="FF0000"/>
          <w:lang w:val="en-GB"/>
        </w:rPr>
      </w:pPr>
      <w:r w:rsidRPr="00B54B8E">
        <w:rPr>
          <w:color w:val="FF0000"/>
          <w:lang w:val="en-GB"/>
        </w:rPr>
        <w:t xml:space="preserve">the issuing authority engages in a dialogue with the executing authority before taking a decision and, if so, in what way and whether it uses videoconferencing (or other </w:t>
      </w:r>
      <w:r w:rsidR="00FE01BD" w:rsidRPr="00B54B8E">
        <w:rPr>
          <w:color w:val="FF0000"/>
          <w:lang w:val="en-GB"/>
        </w:rPr>
        <w:t>audio-visual</w:t>
      </w:r>
      <w:r w:rsidRPr="00B54B8E">
        <w:rPr>
          <w:color w:val="FF0000"/>
          <w:lang w:val="en-GB"/>
        </w:rPr>
        <w:t xml:space="preserve"> transmission)/telephone conference to that end.</w:t>
      </w:r>
    </w:p>
    <w:p w14:paraId="0AAC91FC" w14:textId="77777777" w:rsidR="00AA0269" w:rsidRPr="00AA0269" w:rsidRDefault="00AA0269" w:rsidP="00777A20">
      <w:pPr>
        <w:spacing w:line="360" w:lineRule="auto"/>
        <w:jc w:val="both"/>
        <w:rPr>
          <w:color w:val="FF0000"/>
          <w:lang w:val="en-GB"/>
        </w:rPr>
      </w:pPr>
    </w:p>
    <w:p w14:paraId="196920BA" w14:textId="77777777" w:rsidR="00AA0269" w:rsidRPr="00AA0269" w:rsidRDefault="00AA0269" w:rsidP="00777A20">
      <w:pPr>
        <w:spacing w:line="360" w:lineRule="auto"/>
        <w:jc w:val="both"/>
        <w:rPr>
          <w:color w:val="FF0000"/>
          <w:lang w:val="en-GB"/>
        </w:rPr>
      </w:pPr>
      <w:r w:rsidRPr="00AA0269">
        <w:rPr>
          <w:color w:val="FF0000"/>
          <w:lang w:val="en-GB"/>
        </w:rPr>
        <w:t xml:space="preserve">In the country report, only these considerations will be described. In a </w:t>
      </w:r>
      <w:r w:rsidRPr="00AA0269">
        <w:rPr>
          <w:i/>
          <w:iCs/>
          <w:color w:val="FF0000"/>
          <w:lang w:val="en-GB"/>
        </w:rPr>
        <w:t>separate</w:t>
      </w:r>
      <w:r w:rsidRPr="00AA0269">
        <w:rPr>
          <w:color w:val="FF0000"/>
          <w:lang w:val="en-GB"/>
        </w:rPr>
        <w:t xml:space="preserve"> memorandum, the NAR will express his opinion on whether the decisions of the competent national authorities on the application of the various instruments are ‘effective and coherent’ (within the meaning of </w:t>
      </w:r>
      <w:r w:rsidRPr="00AA0269">
        <w:rPr>
          <w:i/>
          <w:iCs/>
          <w:color w:val="FF0000"/>
          <w:lang w:val="en-GB"/>
        </w:rPr>
        <w:t>MR2.0: some preliminary explorations</w:t>
      </w:r>
      <w:r w:rsidRPr="00AA0269">
        <w:rPr>
          <w:color w:val="FF0000"/>
          <w:lang w:val="en-GB"/>
        </w:rPr>
        <w:t>).</w:t>
      </w:r>
      <w:r w:rsidRPr="00AA0269">
        <w:rPr>
          <w:color w:val="FF0000"/>
          <w:vertAlign w:val="superscript"/>
          <w:lang w:val="en-GB"/>
        </w:rPr>
        <w:footnoteReference w:id="142"/>
      </w:r>
      <w:r w:rsidRPr="00AA0269">
        <w:rPr>
          <w:color w:val="FF0000"/>
          <w:lang w:val="en-GB"/>
        </w:rPr>
        <w:t xml:space="preserve"> These four separate memoranda will, in turn, form the basis of the overarching analysis in the end report.</w:t>
      </w:r>
    </w:p>
    <w:p w14:paraId="7119518A" w14:textId="77777777" w:rsidR="00AA0269" w:rsidRPr="00AA0269" w:rsidRDefault="00AA0269" w:rsidP="00777A20">
      <w:pPr>
        <w:spacing w:line="360" w:lineRule="auto"/>
        <w:jc w:val="both"/>
        <w:rPr>
          <w:color w:val="FF0000"/>
          <w:lang w:val="en-GB"/>
        </w:rPr>
      </w:pPr>
    </w:p>
    <w:p w14:paraId="735A1065" w14:textId="21A9C0A1" w:rsidR="00AA0269" w:rsidRDefault="00AA0269" w:rsidP="00777A20">
      <w:pPr>
        <w:spacing w:line="360" w:lineRule="auto"/>
        <w:jc w:val="both"/>
        <w:rPr>
          <w:color w:val="FF0000"/>
          <w:lang w:val="en-GB"/>
        </w:rPr>
      </w:pPr>
      <w:r w:rsidRPr="00AA0269">
        <w:rPr>
          <w:color w:val="FF0000"/>
          <w:lang w:val="en-GB"/>
        </w:rPr>
        <w:t xml:space="preserve">Some of the instruments are followed by a question mark in red. Those are the instruments whose applicability under EU law is under doubt (see 2.1). The NARs will provide their assessment regarding the applicability of those instruments within the framework of </w:t>
      </w:r>
      <w:r w:rsidRPr="00AA0269">
        <w:rPr>
          <w:color w:val="FF0000"/>
          <w:u w:val="single"/>
          <w:lang w:val="en-GB"/>
        </w:rPr>
        <w:t>national</w:t>
      </w:r>
      <w:r w:rsidRPr="00AA0269">
        <w:rPr>
          <w:color w:val="FF0000"/>
          <w:lang w:val="en-GB"/>
        </w:rPr>
        <w:t xml:space="preserve"> </w:t>
      </w:r>
      <w:r w:rsidRPr="00AA0269">
        <w:rPr>
          <w:color w:val="FF0000"/>
          <w:lang w:val="en-GB"/>
        </w:rPr>
        <w:lastRenderedPageBreak/>
        <w:t>law. Please refer to case-law of the CJEU, to national case-law and legal literature, where relevant. Also</w:t>
      </w:r>
      <w:r w:rsidR="006601C1">
        <w:rPr>
          <w:color w:val="FF0000"/>
          <w:lang w:val="en-GB"/>
        </w:rPr>
        <w:t>,</w:t>
      </w:r>
      <w:r w:rsidRPr="00AA0269">
        <w:rPr>
          <w:color w:val="FF0000"/>
          <w:lang w:val="en-GB"/>
        </w:rPr>
        <w:t xml:space="preserve"> refer to infringement proceedings against the NAR’s MS, where relevant.</w:t>
      </w:r>
    </w:p>
    <w:p w14:paraId="07612CD5" w14:textId="77777777" w:rsidR="00743B79" w:rsidRDefault="00743B79" w:rsidP="00777A20">
      <w:pPr>
        <w:spacing w:line="360" w:lineRule="auto"/>
        <w:jc w:val="both"/>
        <w:rPr>
          <w:lang w:val="en-GB"/>
        </w:rPr>
      </w:pPr>
    </w:p>
    <w:p w14:paraId="629C610F" w14:textId="1B6A6953" w:rsidR="00796994" w:rsidRDefault="00743B79" w:rsidP="00777A20">
      <w:pPr>
        <w:spacing w:line="360" w:lineRule="auto"/>
        <w:jc w:val="both"/>
        <w:rPr>
          <w:lang w:val="en-GB"/>
        </w:rPr>
      </w:pPr>
      <w:r>
        <w:rPr>
          <w:lang w:val="en-GB"/>
        </w:rPr>
        <w:t>The issuing authority must abide by the rules on criminal proceedings and must not issue a decision</w:t>
      </w:r>
      <w:r w:rsidR="000F64E2">
        <w:rPr>
          <w:lang w:val="en-GB"/>
        </w:rPr>
        <w:t xml:space="preserve"> that could not be taken (and executed) in a purely domestic setting (see also Art. 6(1)</w:t>
      </w:r>
      <w:r w:rsidR="00F425C9">
        <w:rPr>
          <w:lang w:val="en-GB"/>
        </w:rPr>
        <w:t xml:space="preserve"> lit. b</w:t>
      </w:r>
      <w:r w:rsidR="000F64E2">
        <w:rPr>
          <w:lang w:val="en-GB"/>
        </w:rPr>
        <w:t xml:space="preserve"> DR 2014/41/EU).</w:t>
      </w:r>
      <w:r w:rsidR="000F64E2">
        <w:rPr>
          <w:rStyle w:val="Funotenzeichen"/>
          <w:lang w:val="en-GB"/>
        </w:rPr>
        <w:footnoteReference w:id="143"/>
      </w:r>
      <w:r w:rsidR="000F64E2">
        <w:rPr>
          <w:lang w:val="en-GB"/>
        </w:rPr>
        <w:t xml:space="preserve"> As to the relevant criteria, the impact on the right to liberty and the availability of less intrusive means are considered most important as the issuing authority is bound by the principle of proportionality.</w:t>
      </w:r>
      <w:r w:rsidR="000F64E2">
        <w:rPr>
          <w:rStyle w:val="Funotenzeichen"/>
          <w:lang w:val="en-GB"/>
        </w:rPr>
        <w:footnoteReference w:id="144"/>
      </w:r>
      <w:r w:rsidR="007C54B1">
        <w:rPr>
          <w:lang w:val="en-GB"/>
        </w:rPr>
        <w:t xml:space="preserve"> </w:t>
      </w:r>
      <w:r w:rsidR="000E1423">
        <w:rPr>
          <w:lang w:val="en-GB"/>
        </w:rPr>
        <w:t>A</w:t>
      </w:r>
      <w:r w:rsidR="004B559C">
        <w:rPr>
          <w:lang w:val="en-GB"/>
        </w:rPr>
        <w:t xml:space="preserve"> similar view was taken on </w:t>
      </w:r>
      <w:r w:rsidR="000E1423">
        <w:rPr>
          <w:lang w:val="en-GB"/>
        </w:rPr>
        <w:t>the impact on free movement rights as far as arrest and detention are concerned</w:t>
      </w:r>
      <w:r w:rsidR="000E1423">
        <w:rPr>
          <w:rStyle w:val="Funotenzeichen"/>
          <w:lang w:val="en-GB"/>
        </w:rPr>
        <w:footnoteReference w:id="145"/>
      </w:r>
      <w:r w:rsidR="000E1423">
        <w:rPr>
          <w:lang w:val="en-GB"/>
        </w:rPr>
        <w:t xml:space="preserve"> whereas public prosecutors considered this </w:t>
      </w:r>
      <w:r w:rsidR="00796994">
        <w:rPr>
          <w:lang w:val="en-GB"/>
        </w:rPr>
        <w:t>issue less relevant because EAWs are usually issued for the most serious crimes</w:t>
      </w:r>
      <w:r w:rsidR="00796994">
        <w:rPr>
          <w:rStyle w:val="Funotenzeichen"/>
          <w:lang w:val="en-GB"/>
        </w:rPr>
        <w:footnoteReference w:id="146"/>
      </w:r>
      <w:r w:rsidR="00796994">
        <w:rPr>
          <w:lang w:val="en-GB"/>
        </w:rPr>
        <w:t xml:space="preserve">. </w:t>
      </w:r>
      <w:r w:rsidR="00BC1A81">
        <w:rPr>
          <w:lang w:val="en-GB"/>
        </w:rPr>
        <w:t>The national attribution of competences was not considered a relevant factor.</w:t>
      </w:r>
      <w:r w:rsidR="00BC1A81">
        <w:rPr>
          <w:rStyle w:val="Funotenzeichen"/>
          <w:lang w:val="en-GB"/>
        </w:rPr>
        <w:footnoteReference w:id="147"/>
      </w:r>
      <w:r w:rsidR="004B559C">
        <w:rPr>
          <w:lang w:val="en-GB"/>
        </w:rPr>
        <w:t xml:space="preserve"> A judge raised the lack of information about and experience in how to use the cooperation instruments.</w:t>
      </w:r>
      <w:r w:rsidR="004B559C">
        <w:rPr>
          <w:rStyle w:val="Funotenzeichen"/>
          <w:lang w:val="en-GB"/>
        </w:rPr>
        <w:footnoteReference w:id="148"/>
      </w:r>
      <w:r w:rsidR="004B559C">
        <w:rPr>
          <w:lang w:val="en-GB"/>
        </w:rPr>
        <w:t xml:space="preserve"> </w:t>
      </w:r>
    </w:p>
    <w:p w14:paraId="4B466C54" w14:textId="376F98BC" w:rsidR="00743B79" w:rsidRPr="00743B79" w:rsidRDefault="007C54B1" w:rsidP="00777A20">
      <w:pPr>
        <w:spacing w:line="360" w:lineRule="auto"/>
        <w:jc w:val="both"/>
        <w:rPr>
          <w:lang w:val="en-GB"/>
        </w:rPr>
      </w:pPr>
      <w:r>
        <w:rPr>
          <w:lang w:val="en-GB"/>
        </w:rPr>
        <w:t>On the other hand, public prosecutors have pointed out that the effectiveness of the instrument is equally important</w:t>
      </w:r>
      <w:r w:rsidR="00796994">
        <w:rPr>
          <w:lang w:val="en-GB"/>
        </w:rPr>
        <w:t xml:space="preserve"> because quick results are essential for a criminal investigation.</w:t>
      </w:r>
      <w:r>
        <w:rPr>
          <w:lang w:val="en-GB"/>
        </w:rPr>
        <w:t xml:space="preserve"> </w:t>
      </w:r>
      <w:r w:rsidR="00796994">
        <w:rPr>
          <w:lang w:val="en-GB"/>
        </w:rPr>
        <w:t xml:space="preserve">If a request is not successful, </w:t>
      </w:r>
      <w:r w:rsidR="0042103F">
        <w:rPr>
          <w:lang w:val="en-GB"/>
        </w:rPr>
        <w:t xml:space="preserve">the investigating public prosecutor will still seek to achieve the result (e.g. by adapting the requests to </w:t>
      </w:r>
      <w:r w:rsidR="000E1423">
        <w:rPr>
          <w:lang w:val="en-GB"/>
        </w:rPr>
        <w:t>requirements under the law of the executing Member States</w:t>
      </w:r>
      <w:r w:rsidR="000E1423">
        <w:rPr>
          <w:rStyle w:val="Funotenzeichen"/>
          <w:lang w:val="en-GB"/>
        </w:rPr>
        <w:footnoteReference w:id="149"/>
      </w:r>
      <w:r w:rsidR="0042103F">
        <w:rPr>
          <w:lang w:val="en-GB"/>
        </w:rPr>
        <w:t>).</w:t>
      </w:r>
      <w:r w:rsidR="0042103F">
        <w:rPr>
          <w:rStyle w:val="Funotenzeichen"/>
          <w:lang w:val="en-GB"/>
        </w:rPr>
        <w:footnoteReference w:id="150"/>
      </w:r>
      <w:r w:rsidR="000E1423">
        <w:rPr>
          <w:lang w:val="en-GB"/>
        </w:rPr>
        <w:t xml:space="preserve"> </w:t>
      </w:r>
      <w:r w:rsidR="0042103F">
        <w:rPr>
          <w:lang w:val="en-GB"/>
        </w:rPr>
        <w:t xml:space="preserve">If, however, the requested Member State does not respond at all, the public prosecutor </w:t>
      </w:r>
      <w:r w:rsidR="004B559C">
        <w:rPr>
          <w:lang w:val="en-GB"/>
        </w:rPr>
        <w:t xml:space="preserve">might </w:t>
      </w:r>
      <w:r w:rsidR="0042103F">
        <w:rPr>
          <w:lang w:val="en-GB"/>
        </w:rPr>
        <w:t xml:space="preserve">refrain from sending further </w:t>
      </w:r>
      <w:r>
        <w:rPr>
          <w:lang w:val="en-GB"/>
        </w:rPr>
        <w:t>requests</w:t>
      </w:r>
      <w:r w:rsidR="000E1423">
        <w:rPr>
          <w:lang w:val="en-GB"/>
        </w:rPr>
        <w:t xml:space="preserve"> </w:t>
      </w:r>
      <w:r>
        <w:rPr>
          <w:lang w:val="en-GB"/>
        </w:rPr>
        <w:t>to the authorities of this Member State</w:t>
      </w:r>
      <w:r w:rsidR="0042103F">
        <w:rPr>
          <w:lang w:val="en-GB"/>
        </w:rPr>
        <w:t>.</w:t>
      </w:r>
      <w:r>
        <w:rPr>
          <w:rStyle w:val="Funotenzeichen"/>
          <w:lang w:val="en-GB"/>
        </w:rPr>
        <w:footnoteReference w:id="151"/>
      </w:r>
      <w:r>
        <w:rPr>
          <w:lang w:val="en-GB"/>
        </w:rPr>
        <w:t xml:space="preserve"> </w:t>
      </w:r>
      <w:r w:rsidR="004B559C">
        <w:rPr>
          <w:lang w:val="en-GB"/>
        </w:rPr>
        <w:t>On the other hand, since the principle of mandatory prosecution obliges public prosecutors and courts to investigate and prosecute crimes, another Member State’s failure to respond does not provide sufficient reason not to use the corresponding cooperation instrument (e.g. the EAW) in another case.</w:t>
      </w:r>
      <w:r w:rsidR="004B559C">
        <w:rPr>
          <w:rStyle w:val="Funotenzeichen"/>
          <w:lang w:val="en-GB"/>
        </w:rPr>
        <w:footnoteReference w:id="152"/>
      </w:r>
      <w:r w:rsidR="004B559C">
        <w:rPr>
          <w:lang w:val="en-GB"/>
        </w:rPr>
        <w:t xml:space="preserve"> Moreover</w:t>
      </w:r>
      <w:r w:rsidR="000E1423">
        <w:rPr>
          <w:lang w:val="en-GB"/>
        </w:rPr>
        <w:t xml:space="preserve">, the responsiveness may depend </w:t>
      </w:r>
      <w:r w:rsidR="000C52CF">
        <w:rPr>
          <w:lang w:val="en-GB"/>
        </w:rPr>
        <w:t xml:space="preserve">upon the crime that is under investigation: </w:t>
      </w:r>
      <w:r w:rsidR="000E1423">
        <w:rPr>
          <w:lang w:val="en-GB"/>
        </w:rPr>
        <w:t xml:space="preserve">An instrument that does not work for fraud cases, may turn out to bring quick results in a </w:t>
      </w:r>
      <w:r w:rsidR="000E1423">
        <w:rPr>
          <w:lang w:val="en-GB"/>
        </w:rPr>
        <w:lastRenderedPageBreak/>
        <w:t>murder case.</w:t>
      </w:r>
      <w:r w:rsidR="000E1423">
        <w:rPr>
          <w:rStyle w:val="Funotenzeichen"/>
          <w:lang w:val="en-GB"/>
        </w:rPr>
        <w:footnoteReference w:id="153"/>
      </w:r>
      <w:r w:rsidR="004B559C">
        <w:rPr>
          <w:lang w:val="en-GB"/>
        </w:rPr>
        <w:t xml:space="preserve"> </w:t>
      </w:r>
      <w:r w:rsidR="0042103F">
        <w:rPr>
          <w:lang w:val="en-GB"/>
        </w:rPr>
        <w:t>As a matter of principle, costs should not provide sufficient reason not to have recourse to a suitable cooperation instrument.</w:t>
      </w:r>
      <w:r w:rsidR="0042103F">
        <w:rPr>
          <w:rStyle w:val="Funotenzeichen"/>
          <w:lang w:val="en-GB"/>
        </w:rPr>
        <w:footnoteReference w:id="154"/>
      </w:r>
      <w:r w:rsidR="004B559C">
        <w:rPr>
          <w:lang w:val="en-GB"/>
        </w:rPr>
        <w:t xml:space="preserve"> </w:t>
      </w:r>
      <w:r w:rsidR="00957E85">
        <w:rPr>
          <w:lang w:val="en-GB"/>
        </w:rPr>
        <w:t>As of now, t</w:t>
      </w:r>
      <w:r w:rsidR="00F11A8E">
        <w:rPr>
          <w:lang w:val="en-GB"/>
        </w:rPr>
        <w:t>here are no findings</w:t>
      </w:r>
      <w:r w:rsidR="004B559C">
        <w:rPr>
          <w:lang w:val="en-GB"/>
        </w:rPr>
        <w:t xml:space="preserve"> on the costs of issuing (or executing) a</w:t>
      </w:r>
      <w:r w:rsidR="00127DD2">
        <w:rPr>
          <w:lang w:val="en-GB"/>
        </w:rPr>
        <w:t>n</w:t>
      </w:r>
      <w:r w:rsidR="004B559C">
        <w:rPr>
          <w:lang w:val="en-GB"/>
        </w:rPr>
        <w:t xml:space="preserve"> EAW yet; in any case, videoconferences are less costly because the technical equipment is available for the judicial authorities.</w:t>
      </w:r>
      <w:r w:rsidR="004B559C">
        <w:rPr>
          <w:rStyle w:val="Funotenzeichen"/>
          <w:lang w:val="en-GB"/>
        </w:rPr>
        <w:footnoteReference w:id="155"/>
      </w:r>
      <w:r w:rsidR="004B559C">
        <w:rPr>
          <w:lang w:val="en-GB"/>
        </w:rPr>
        <w:t xml:space="preserve"> </w:t>
      </w:r>
      <w:r w:rsidR="0042103F">
        <w:rPr>
          <w:lang w:val="en-GB"/>
        </w:rPr>
        <w:t xml:space="preserve">On the other hand, significant costs for translation of documents (e.g. the investigation file for the purpose of a transfer of proceedings) </w:t>
      </w:r>
      <w:r w:rsidR="004B559C">
        <w:rPr>
          <w:lang w:val="en-GB"/>
        </w:rPr>
        <w:t>are considered</w:t>
      </w:r>
      <w:r w:rsidR="0042103F">
        <w:rPr>
          <w:lang w:val="en-GB"/>
        </w:rPr>
        <w:t xml:space="preserve"> an important factor.</w:t>
      </w:r>
      <w:r w:rsidR="0042103F">
        <w:rPr>
          <w:rStyle w:val="Funotenzeichen"/>
          <w:lang w:val="en-GB"/>
        </w:rPr>
        <w:footnoteReference w:id="156"/>
      </w:r>
      <w:r w:rsidR="0042103F">
        <w:rPr>
          <w:lang w:val="en-GB"/>
        </w:rPr>
        <w:t xml:space="preserve"> </w:t>
      </w:r>
      <w:r w:rsidR="004B559C">
        <w:rPr>
          <w:lang w:val="en-GB"/>
        </w:rPr>
        <w:t>In this regard, recourse to translations by AI tools should be taken into consideration.</w:t>
      </w:r>
      <w:r w:rsidR="004B559C">
        <w:rPr>
          <w:rStyle w:val="Funotenzeichen"/>
          <w:lang w:val="en-GB"/>
        </w:rPr>
        <w:footnoteReference w:id="157"/>
      </w:r>
      <w:r w:rsidR="004B559C">
        <w:rPr>
          <w:lang w:val="en-GB"/>
        </w:rPr>
        <w:t xml:space="preserve"> </w:t>
      </w:r>
      <w:r w:rsidR="0042103F">
        <w:rPr>
          <w:lang w:val="en-GB"/>
        </w:rPr>
        <w:t>I</w:t>
      </w:r>
      <w:r w:rsidR="00770B4C">
        <w:rPr>
          <w:lang w:val="en-GB"/>
        </w:rPr>
        <w:t>n practice, this issue is sometimes</w:t>
      </w:r>
      <w:r w:rsidR="0042103F">
        <w:rPr>
          <w:lang w:val="en-GB"/>
        </w:rPr>
        <w:t xml:space="preserve"> solved by consultations that may result in an agreement on the distribution of the relevant costs.</w:t>
      </w:r>
      <w:r w:rsidR="0042103F">
        <w:rPr>
          <w:rStyle w:val="Funotenzeichen"/>
          <w:lang w:val="en-GB"/>
        </w:rPr>
        <w:footnoteReference w:id="158"/>
      </w:r>
      <w:r w:rsidR="00770B4C">
        <w:rPr>
          <w:lang w:val="en-GB"/>
        </w:rPr>
        <w:t xml:space="preserve"> </w:t>
      </w:r>
      <w:r w:rsidR="007C4F5E">
        <w:rPr>
          <w:lang w:val="en-GB"/>
        </w:rPr>
        <w:t xml:space="preserve">Art. 19(2) of </w:t>
      </w:r>
      <w:r w:rsidR="00244CD0">
        <w:rPr>
          <w:lang w:val="en-US"/>
        </w:rPr>
        <w:t>Regulation (EU) 2024/3011 on the transfer of proceedings in criminal matters</w:t>
      </w:r>
      <w:r w:rsidR="007C4F5E">
        <w:rPr>
          <w:lang w:val="en-GB"/>
        </w:rPr>
        <w:t xml:space="preserve"> provides for sharing of </w:t>
      </w:r>
      <w:r w:rsidR="002B69D2">
        <w:rPr>
          <w:lang w:val="en-GB"/>
        </w:rPr>
        <w:t>‘large or exceptional</w:t>
      </w:r>
      <w:r w:rsidR="00D17A3F">
        <w:rPr>
          <w:lang w:val="en-GB"/>
        </w:rPr>
        <w:t>’</w:t>
      </w:r>
      <w:r w:rsidR="002B69D2">
        <w:rPr>
          <w:lang w:val="en-GB"/>
        </w:rPr>
        <w:t xml:space="preserve"> </w:t>
      </w:r>
      <w:r w:rsidR="007C4F5E">
        <w:rPr>
          <w:lang w:val="en-GB"/>
        </w:rPr>
        <w:t>costs, too.</w:t>
      </w:r>
      <w:r w:rsidR="00ED2E1E">
        <w:rPr>
          <w:lang w:val="en-GB"/>
        </w:rPr>
        <w:t xml:space="preserve"> </w:t>
      </w:r>
      <w:r w:rsidR="00770B4C">
        <w:rPr>
          <w:lang w:val="en-GB"/>
        </w:rPr>
        <w:t>Apart from this issue, the issuing authority usually does not enter into consultations on the choice of the cooperation instrument unless in large-scale or complex investigations.</w:t>
      </w:r>
      <w:r w:rsidR="00770B4C">
        <w:rPr>
          <w:rStyle w:val="Funotenzeichen"/>
          <w:lang w:val="en-GB"/>
        </w:rPr>
        <w:footnoteReference w:id="159"/>
      </w:r>
      <w:r w:rsidR="00C75A3D">
        <w:rPr>
          <w:lang w:val="en-GB"/>
        </w:rPr>
        <w:t xml:space="preserve"> Alternatively, it may consult with the ministry of</w:t>
      </w:r>
      <w:r w:rsidR="003673A6">
        <w:rPr>
          <w:lang w:val="en-GB"/>
        </w:rPr>
        <w:t xml:space="preserve"> justice or the EJN contact point on how to proceed.</w:t>
      </w:r>
      <w:r w:rsidR="003673A6">
        <w:rPr>
          <w:rStyle w:val="Funotenzeichen"/>
          <w:lang w:val="en-GB"/>
        </w:rPr>
        <w:footnoteReference w:id="160"/>
      </w:r>
      <w:r w:rsidR="004B559C">
        <w:rPr>
          <w:lang w:val="en-GB"/>
        </w:rPr>
        <w:t xml:space="preserve"> According to a judge, consultations often fail for lack of information on how to establish and contact the competent authority in the executing Member State.</w:t>
      </w:r>
      <w:r w:rsidR="004B559C">
        <w:rPr>
          <w:rStyle w:val="Funotenzeichen"/>
          <w:lang w:val="en-GB"/>
        </w:rPr>
        <w:footnoteReference w:id="161"/>
      </w:r>
      <w:r w:rsidR="004B559C">
        <w:rPr>
          <w:lang w:val="en-GB"/>
        </w:rPr>
        <w:t xml:space="preserve"> On the other hand, personal contact with the executing authority (instead of the mere transmission of a written request) is considered of crucial importance for a smooth cooperation.</w:t>
      </w:r>
      <w:r w:rsidR="004B559C">
        <w:rPr>
          <w:rStyle w:val="Funotenzeichen"/>
          <w:lang w:val="en-GB"/>
        </w:rPr>
        <w:footnoteReference w:id="162"/>
      </w:r>
    </w:p>
    <w:p w14:paraId="6133D6DE" w14:textId="77777777" w:rsidR="00AA0269" w:rsidRDefault="00AA0269" w:rsidP="00777A20">
      <w:pPr>
        <w:jc w:val="both"/>
        <w:rPr>
          <w:lang w:val="en-GB"/>
        </w:rPr>
      </w:pPr>
    </w:p>
    <w:p w14:paraId="1CC6FD4F" w14:textId="18C40692" w:rsidR="00B54B8E" w:rsidRDefault="00B54B8E" w:rsidP="00777A20">
      <w:pPr>
        <w:pStyle w:val="berschrift3"/>
        <w:numPr>
          <w:ilvl w:val="2"/>
          <w:numId w:val="15"/>
        </w:numPr>
        <w:ind w:left="1560" w:hanging="709"/>
        <w:rPr>
          <w:lang w:val="en-GB"/>
        </w:rPr>
      </w:pPr>
      <w:bookmarkStart w:id="136" w:name="_Toc147328925"/>
      <w:bookmarkStart w:id="137" w:name="_Toc147328973"/>
      <w:bookmarkStart w:id="138" w:name="_Toc147329085"/>
      <w:bookmarkStart w:id="139" w:name="_Toc170228515"/>
      <w:r>
        <w:rPr>
          <w:lang w:val="en-GB"/>
        </w:rPr>
        <w:t>Substage 1 (</w:t>
      </w:r>
      <w:r w:rsidR="00C601B9">
        <w:rPr>
          <w:lang w:val="en-GB"/>
        </w:rPr>
        <w:t xml:space="preserve">no </w:t>
      </w:r>
      <w:r>
        <w:rPr>
          <w:lang w:val="en-GB"/>
        </w:rPr>
        <w:t>detention on remand</w:t>
      </w:r>
      <w:r w:rsidR="00C601B9">
        <w:rPr>
          <w:lang w:val="en-GB"/>
        </w:rPr>
        <w:t xml:space="preserve"> possible</w:t>
      </w:r>
      <w:r>
        <w:rPr>
          <w:lang w:val="en-GB"/>
        </w:rPr>
        <w:t>)</w:t>
      </w:r>
      <w:bookmarkEnd w:id="136"/>
      <w:bookmarkEnd w:id="137"/>
      <w:bookmarkEnd w:id="138"/>
      <w:bookmarkEnd w:id="139"/>
    </w:p>
    <w:p w14:paraId="18F08071" w14:textId="77777777" w:rsidR="00B54B8E" w:rsidRPr="00047453" w:rsidRDefault="00B54B8E" w:rsidP="00777A20">
      <w:pPr>
        <w:pStyle w:val="berschrift5"/>
        <w:numPr>
          <w:ilvl w:val="0"/>
          <w:numId w:val="44"/>
        </w:numPr>
        <w:ind w:left="1843" w:hanging="425"/>
        <w:rPr>
          <w:lang w:val="en-GB"/>
        </w:rPr>
      </w:pPr>
      <w:bookmarkStart w:id="140" w:name="_Toc147328974"/>
      <w:bookmarkStart w:id="141" w:name="_Toc147329086"/>
      <w:bookmarkStart w:id="142" w:name="_Toc170228516"/>
      <w:r w:rsidRPr="00047453">
        <w:rPr>
          <w:lang w:val="en-GB"/>
        </w:rPr>
        <w:t>Person concerned present in issuing MS</w:t>
      </w:r>
      <w:bookmarkEnd w:id="140"/>
      <w:bookmarkEnd w:id="141"/>
      <w:bookmarkEnd w:id="142"/>
    </w:p>
    <w:p w14:paraId="5D7C2021" w14:textId="72B92ECE" w:rsidR="00B54B8E" w:rsidRPr="00353C2A" w:rsidRDefault="00B54B8E" w:rsidP="00777A20">
      <w:pPr>
        <w:spacing w:line="360" w:lineRule="auto"/>
        <w:ind w:left="1843"/>
        <w:jc w:val="both"/>
        <w:rPr>
          <w:lang w:val="en-GB"/>
        </w:rPr>
      </w:pPr>
      <w:r w:rsidRPr="00353C2A">
        <w:rPr>
          <w:lang w:val="en-GB"/>
        </w:rPr>
        <w:t>(bb) Ensuring that the suspect is available</w:t>
      </w:r>
      <w:r w:rsidR="00711384">
        <w:rPr>
          <w:rStyle w:val="Funotenzeichen"/>
          <w:lang w:val="en-GB"/>
        </w:rPr>
        <w:footnoteReference w:id="163"/>
      </w:r>
      <w:r w:rsidRPr="00353C2A">
        <w:rPr>
          <w:lang w:val="en-GB"/>
        </w:rPr>
        <w:t xml:space="preserve"> </w:t>
      </w:r>
    </w:p>
    <w:p w14:paraId="7DE96ADA" w14:textId="77777777" w:rsidR="00B54B8E" w:rsidRPr="00B54B8E" w:rsidRDefault="00B54B8E" w:rsidP="00777A20">
      <w:pPr>
        <w:pStyle w:val="Listenabsatz"/>
        <w:numPr>
          <w:ilvl w:val="0"/>
          <w:numId w:val="31"/>
        </w:numPr>
        <w:spacing w:line="360" w:lineRule="auto"/>
        <w:ind w:left="2410" w:hanging="142"/>
        <w:jc w:val="both"/>
        <w:rPr>
          <w:lang w:val="en-GB"/>
        </w:rPr>
      </w:pPr>
      <w:r w:rsidRPr="00B54B8E">
        <w:rPr>
          <w:lang w:val="en-GB"/>
        </w:rPr>
        <w:t xml:space="preserve">FD 2009/829/JHA </w:t>
      </w:r>
      <w:r w:rsidRPr="00B54B8E">
        <w:rPr>
          <w:color w:val="FF0000"/>
          <w:lang w:val="en-GB"/>
        </w:rPr>
        <w:t>(?)</w:t>
      </w:r>
    </w:p>
    <w:p w14:paraId="7EB5175D" w14:textId="77777777" w:rsidR="00B54B8E" w:rsidRDefault="00B54B8E" w:rsidP="00777A20">
      <w:pPr>
        <w:spacing w:line="360" w:lineRule="auto"/>
        <w:ind w:left="2268"/>
        <w:jc w:val="both"/>
        <w:rPr>
          <w:color w:val="FF0000"/>
          <w:lang w:val="en-GB"/>
        </w:rPr>
      </w:pPr>
      <w:r w:rsidRPr="00353C2A">
        <w:rPr>
          <w:color w:val="FF0000"/>
          <w:lang w:val="en-GB"/>
        </w:rPr>
        <w:t xml:space="preserve">ESO possible </w:t>
      </w:r>
      <w:r w:rsidRPr="00353C2A">
        <w:rPr>
          <w:color w:val="FF0000"/>
          <w:u w:val="single"/>
          <w:lang w:val="en-GB"/>
        </w:rPr>
        <w:t>under national law</w:t>
      </w:r>
      <w:r w:rsidRPr="00353C2A">
        <w:rPr>
          <w:color w:val="FF0000"/>
          <w:lang w:val="en-GB"/>
        </w:rPr>
        <w:t>?</w:t>
      </w:r>
    </w:p>
    <w:p w14:paraId="4EB94C59" w14:textId="0D6BDE66" w:rsidR="001876E3" w:rsidRPr="0033147B" w:rsidRDefault="001876E3" w:rsidP="005F3844">
      <w:pPr>
        <w:spacing w:line="360" w:lineRule="auto"/>
        <w:jc w:val="both"/>
        <w:rPr>
          <w:rStyle w:val="oj-italic"/>
          <w:lang w:val="en-GB"/>
        </w:rPr>
      </w:pPr>
      <w:r>
        <w:rPr>
          <w:rStyle w:val="oj-italic"/>
          <w:lang w:val="en-GB"/>
        </w:rPr>
        <w:t>A</w:t>
      </w:r>
      <w:r w:rsidRPr="0033147B">
        <w:rPr>
          <w:rStyle w:val="oj-italic"/>
          <w:lang w:val="en-GB"/>
        </w:rPr>
        <w:t>ccording to EU law, a</w:t>
      </w:r>
      <w:r w:rsidR="001C67F0">
        <w:rPr>
          <w:rStyle w:val="oj-italic"/>
          <w:lang w:val="en-GB"/>
        </w:rPr>
        <w:t>n</w:t>
      </w:r>
      <w:r w:rsidRPr="0033147B">
        <w:rPr>
          <w:rStyle w:val="oj-italic"/>
          <w:lang w:val="en-GB"/>
        </w:rPr>
        <w:t xml:space="preserve"> ESO may be issued even if detention on remand cannot be ordered yet (</w:t>
      </w:r>
      <w:r w:rsidRPr="0033147B">
        <w:rPr>
          <w:rStyle w:val="oj-italic"/>
          <w:i/>
          <w:lang w:val="en-GB"/>
        </w:rPr>
        <w:t xml:space="preserve">supra </w:t>
      </w:r>
      <w:r w:rsidRPr="0033147B">
        <w:rPr>
          <w:rStyle w:val="oj-italic"/>
          <w:lang w:val="en-GB"/>
        </w:rPr>
        <w:t>2.1.1.). So,</w:t>
      </w:r>
      <w:r>
        <w:rPr>
          <w:lang w:val="en-GB"/>
        </w:rPr>
        <w:t xml:space="preserve"> it depends upon the Member State’s criminal justice system whether </w:t>
      </w:r>
      <w:r>
        <w:rPr>
          <w:lang w:val="en-GB"/>
        </w:rPr>
        <w:lastRenderedPageBreak/>
        <w:t>such alternatives must be considered before an arrest warrant is issued or before such a warrant – that has been issued – is executed. Germany has chosen the latter option so that the issuing of an arrest warrant is a precondition to the issuing of supervision measures under FD 2009/829/JHA.</w:t>
      </w:r>
    </w:p>
    <w:p w14:paraId="0711AEFA" w14:textId="7E3FB350" w:rsidR="001876E3" w:rsidRPr="0033147B" w:rsidRDefault="001876E3" w:rsidP="005F3844">
      <w:pPr>
        <w:spacing w:line="360" w:lineRule="auto"/>
        <w:jc w:val="both"/>
        <w:rPr>
          <w:rStyle w:val="oj-italic"/>
          <w:lang w:val="en-GB"/>
        </w:rPr>
      </w:pPr>
      <w:r w:rsidRPr="00344085">
        <w:rPr>
          <w:lang w:val="en-US"/>
        </w:rPr>
        <w:t xml:space="preserve">In the German criminal justice system, detention on remand may be ordered </w:t>
      </w:r>
      <w:r w:rsidRPr="0033147B">
        <w:rPr>
          <w:lang w:val="en-GB"/>
        </w:rPr>
        <w:t>against an accused person if he is strongly suspected of having committed the offence and there is a ground for arrest</w:t>
      </w:r>
      <w:r w:rsidRPr="00344085">
        <w:rPr>
          <w:lang w:val="en-US"/>
        </w:rPr>
        <w:t xml:space="preserve"> (e.g. risk of flight or tampering with evidence, section 112 CCP). If there is a ground for arrest, but the purpose of detention can be achieved by less severe measures (supervision, bail), the execution of the arrest warrant can be suspended (section 116 CCP). Supervision measures are, thus, not an alternative to the arrest warrant, but to its execution. Thus, according to German law, the issuing of an arrest warrant is a p</w:t>
      </w:r>
      <w:r>
        <w:rPr>
          <w:lang w:val="en-US"/>
        </w:rPr>
        <w:t>recondition to issuing a</w:t>
      </w:r>
      <w:r w:rsidR="001C67F0">
        <w:rPr>
          <w:lang w:val="en-US"/>
        </w:rPr>
        <w:t>n</w:t>
      </w:r>
      <w:r>
        <w:rPr>
          <w:lang w:val="en-US"/>
        </w:rPr>
        <w:t xml:space="preserve"> ESO (section</w:t>
      </w:r>
      <w:r w:rsidRPr="00344085">
        <w:rPr>
          <w:lang w:val="en-US"/>
        </w:rPr>
        <w:t xml:space="preserve"> 90y AICCM).</w:t>
      </w:r>
      <w:r w:rsidRPr="00344085">
        <w:rPr>
          <w:vertAlign w:val="superscript"/>
          <w:lang w:val="en-US"/>
        </w:rPr>
        <w:footnoteReference w:id="164"/>
      </w:r>
      <w:r>
        <w:rPr>
          <w:lang w:val="en-US"/>
        </w:rPr>
        <w:t xml:space="preserve"> Accordingly, the court must withdraw the ESO if the conditions for issuing an arrest warrant are no longer met (section 90z(1) AICCM). As a consequence, the concerns about the threshold of Art. 2(1) FD 2002/584/JHA (</w:t>
      </w:r>
      <w:r>
        <w:rPr>
          <w:i/>
          <w:lang w:val="en-US"/>
        </w:rPr>
        <w:t xml:space="preserve">supra </w:t>
      </w:r>
      <w:r>
        <w:rPr>
          <w:lang w:val="en-US"/>
        </w:rPr>
        <w:t xml:space="preserve">2.1.1.1.) </w:t>
      </w:r>
      <w:r w:rsidRPr="0033147B">
        <w:rPr>
          <w:rStyle w:val="oj-italic"/>
          <w:lang w:val="en-GB"/>
        </w:rPr>
        <w:t>seem less relevant because remand detention for the purpose of prosecuting petty offences must be in conformity with the proportionality principle (section 112(1)2 CCP).</w:t>
      </w:r>
      <w:r>
        <w:rPr>
          <w:rStyle w:val="Funotenzeichen"/>
        </w:rPr>
        <w:footnoteReference w:id="165"/>
      </w:r>
      <w:r w:rsidRPr="0033147B">
        <w:rPr>
          <w:rStyle w:val="oj-italic"/>
          <w:lang w:val="en-GB"/>
        </w:rPr>
        <w:t xml:space="preserve"> This applies in particular to offences punishable by imprisonment for a term not exceeding six months (section 113 CCP); nevertheless, even in this case, the court may order detention on remand on the ground of a risk of flight if the defendant has no permanent residence within Germany (section 113(2) No. 2 CCP).</w:t>
      </w:r>
    </w:p>
    <w:p w14:paraId="6EA0464C" w14:textId="4ACD7623" w:rsidR="000809E4" w:rsidRDefault="005F3844" w:rsidP="007C4F5E">
      <w:pPr>
        <w:spacing w:line="360" w:lineRule="auto"/>
        <w:jc w:val="both"/>
        <w:rPr>
          <w:lang w:val="en-US"/>
        </w:rPr>
      </w:pPr>
      <w:r>
        <w:rPr>
          <w:lang w:val="en-US"/>
        </w:rPr>
        <w:t xml:space="preserve">However, even where detention on remand is not possible, the court may order the accused person to </w:t>
      </w:r>
      <w:r w:rsidRPr="005F3844">
        <w:rPr>
          <w:lang w:val="en-US"/>
        </w:rPr>
        <w:t>provide adequate security for the anticipated fine and the costs of the proceedings and</w:t>
      </w:r>
      <w:r>
        <w:rPr>
          <w:lang w:val="en-US"/>
        </w:rPr>
        <w:t xml:space="preserve"> to </w:t>
      </w:r>
      <w:r w:rsidRPr="00D73E40">
        <w:rPr>
          <w:lang w:val="en-US"/>
        </w:rPr>
        <w:t>authori</w:t>
      </w:r>
      <w:r w:rsidR="00363463">
        <w:rPr>
          <w:lang w:val="en-US"/>
        </w:rPr>
        <w:t>z</w:t>
      </w:r>
      <w:r w:rsidRPr="00D73E40">
        <w:rPr>
          <w:lang w:val="en-US"/>
        </w:rPr>
        <w:t>e a person residing within the district of the competent court to accept service</w:t>
      </w:r>
      <w:r>
        <w:rPr>
          <w:lang w:val="en-US"/>
        </w:rPr>
        <w:t xml:space="preserve"> of the penalty order if the accused person is </w:t>
      </w:r>
      <w:r w:rsidRPr="005F3844">
        <w:rPr>
          <w:lang w:val="en-US"/>
        </w:rPr>
        <w:t xml:space="preserve">strongly suspected of having committed an offence </w:t>
      </w:r>
      <w:r>
        <w:rPr>
          <w:lang w:val="en-US"/>
        </w:rPr>
        <w:t xml:space="preserve">and </w:t>
      </w:r>
      <w:r w:rsidRPr="005F3844">
        <w:rPr>
          <w:lang w:val="en-US"/>
        </w:rPr>
        <w:t xml:space="preserve">has no residence </w:t>
      </w:r>
      <w:r>
        <w:rPr>
          <w:lang w:val="en-US"/>
        </w:rPr>
        <w:t>in Germany</w:t>
      </w:r>
      <w:r w:rsidRPr="005F3844">
        <w:rPr>
          <w:lang w:val="en-US"/>
        </w:rPr>
        <w:t xml:space="preserve"> </w:t>
      </w:r>
      <w:r>
        <w:rPr>
          <w:lang w:val="en-US"/>
        </w:rPr>
        <w:t>(section 132 CCP)</w:t>
      </w:r>
      <w:r w:rsidRPr="00D73E40">
        <w:rPr>
          <w:lang w:val="en-US"/>
        </w:rPr>
        <w:t>.</w:t>
      </w:r>
      <w:r>
        <w:rPr>
          <w:lang w:val="en-US"/>
        </w:rPr>
        <w:t xml:space="preserve"> </w:t>
      </w:r>
      <w:r w:rsidR="006E1883">
        <w:rPr>
          <w:lang w:val="en-US"/>
        </w:rPr>
        <w:t>Su</w:t>
      </w:r>
      <w:r>
        <w:rPr>
          <w:lang w:val="en-US"/>
        </w:rPr>
        <w:t>ch an order</w:t>
      </w:r>
      <w:r w:rsidR="006E1883">
        <w:rPr>
          <w:lang w:val="en-US"/>
        </w:rPr>
        <w:t xml:space="preserve"> enables </w:t>
      </w:r>
      <w:r>
        <w:rPr>
          <w:lang w:val="en-US"/>
        </w:rPr>
        <w:t xml:space="preserve">the court </w:t>
      </w:r>
      <w:r w:rsidR="006E1883">
        <w:rPr>
          <w:lang w:val="en-US"/>
        </w:rPr>
        <w:t>to issue and execute a</w:t>
      </w:r>
      <w:r>
        <w:rPr>
          <w:lang w:val="en-US"/>
        </w:rPr>
        <w:t xml:space="preserve"> penalty order (section 407 CCP)</w:t>
      </w:r>
      <w:r w:rsidR="003901C2">
        <w:rPr>
          <w:lang w:val="en-US"/>
        </w:rPr>
        <w:t xml:space="preserve"> after the period for lodging an objection to that order has expired</w:t>
      </w:r>
      <w:r w:rsidR="006E1883">
        <w:rPr>
          <w:lang w:val="en-US"/>
        </w:rPr>
        <w:t>.</w:t>
      </w:r>
      <w:r w:rsidR="006E1883">
        <w:rPr>
          <w:rStyle w:val="Funotenzeichen"/>
          <w:lang w:val="en-US"/>
        </w:rPr>
        <w:footnoteReference w:id="166"/>
      </w:r>
      <w:r w:rsidR="003901C2">
        <w:rPr>
          <w:lang w:val="en-US"/>
        </w:rPr>
        <w:t xml:space="preserve"> According to the Court of Justice, EU law does </w:t>
      </w:r>
      <w:r w:rsidR="003901C2" w:rsidRPr="003901C2">
        <w:rPr>
          <w:lang w:val="en-US"/>
        </w:rPr>
        <w:t xml:space="preserve">not preclude </w:t>
      </w:r>
      <w:r w:rsidR="003901C2">
        <w:rPr>
          <w:lang w:val="en-US"/>
        </w:rPr>
        <w:t xml:space="preserve">such a mechanism, provided that, </w:t>
      </w:r>
      <w:r w:rsidR="003901C2" w:rsidRPr="003901C2">
        <w:rPr>
          <w:lang w:val="en-US"/>
        </w:rPr>
        <w:t xml:space="preserve">as soon as the person concerned has actually become aware of the </w:t>
      </w:r>
      <w:r w:rsidR="003901C2" w:rsidRPr="003901C2">
        <w:rPr>
          <w:lang w:val="en-US"/>
        </w:rPr>
        <w:lastRenderedPageBreak/>
        <w:t>order, he should be placed in the same situation as if that order had been served on him personally and, in particular, that he ha</w:t>
      </w:r>
      <w:r w:rsidR="003901C2">
        <w:rPr>
          <w:lang w:val="en-US"/>
        </w:rPr>
        <w:t>s</w:t>
      </w:r>
      <w:r w:rsidR="003901C2" w:rsidRPr="003901C2">
        <w:rPr>
          <w:lang w:val="en-US"/>
        </w:rPr>
        <w:t xml:space="preserve"> the whole of the prescribed period for lodging an objection</w:t>
      </w:r>
      <w:r w:rsidR="00281EFA">
        <w:rPr>
          <w:lang w:val="en-US"/>
        </w:rPr>
        <w:t xml:space="preserve"> to that order.</w:t>
      </w:r>
      <w:r w:rsidR="00281EFA">
        <w:rPr>
          <w:rStyle w:val="Funotenzeichen"/>
          <w:lang w:val="en-US"/>
        </w:rPr>
        <w:footnoteReference w:id="167"/>
      </w:r>
      <w:r w:rsidR="00281EFA">
        <w:rPr>
          <w:lang w:val="en-US"/>
        </w:rPr>
        <w:t xml:space="preserve"> As a consequence, the e</w:t>
      </w:r>
      <w:r w:rsidR="00054883">
        <w:rPr>
          <w:lang w:val="en-US"/>
        </w:rPr>
        <w:t xml:space="preserve">nforcement of the penalty order bears the risk that the convicted person files an application to be granted restoration of the </w:t>
      </w:r>
      <w:r w:rsidR="00054883" w:rsidRPr="00054883">
        <w:rPr>
          <w:lang w:val="en-US"/>
        </w:rPr>
        <w:t>status quo ante</w:t>
      </w:r>
      <w:r w:rsidR="00054883">
        <w:rPr>
          <w:lang w:val="en-US"/>
        </w:rPr>
        <w:t xml:space="preserve"> in order to lodge an objection to the penalty order.</w:t>
      </w:r>
      <w:r w:rsidR="00054883">
        <w:rPr>
          <w:rStyle w:val="Funotenzeichen"/>
          <w:lang w:val="en-US"/>
        </w:rPr>
        <w:footnoteReference w:id="168"/>
      </w:r>
      <w:r w:rsidR="00F14F4A">
        <w:rPr>
          <w:lang w:val="en-US"/>
        </w:rPr>
        <w:t xml:space="preserve"> Accordingly, defence counsels have raised their concerns about this mechanism</w:t>
      </w:r>
      <w:r w:rsidR="00F14F4A">
        <w:rPr>
          <w:rStyle w:val="Funotenzeichen"/>
          <w:lang w:val="en-US"/>
        </w:rPr>
        <w:footnoteReference w:id="169"/>
      </w:r>
      <w:r w:rsidR="00F14F4A">
        <w:rPr>
          <w:lang w:val="en-US"/>
        </w:rPr>
        <w:t xml:space="preserve"> that has apparently not been used in recent judicial practice</w:t>
      </w:r>
      <w:r w:rsidR="00F14F4A">
        <w:rPr>
          <w:rStyle w:val="Funotenzeichen"/>
          <w:lang w:val="en-US"/>
        </w:rPr>
        <w:footnoteReference w:id="170"/>
      </w:r>
      <w:r w:rsidR="00F14F4A">
        <w:rPr>
          <w:lang w:val="en-US"/>
        </w:rPr>
        <w:t>.</w:t>
      </w:r>
      <w:r w:rsidR="00850FFA">
        <w:rPr>
          <w:lang w:val="en-US"/>
        </w:rPr>
        <w:t xml:space="preserve"> </w:t>
      </w:r>
      <w:r w:rsidR="003E15A0">
        <w:rPr>
          <w:lang w:val="en-US"/>
        </w:rPr>
        <w:t>As an alternative to the authori</w:t>
      </w:r>
      <w:r w:rsidR="005A3481">
        <w:rPr>
          <w:lang w:val="en-US"/>
        </w:rPr>
        <w:t>s</w:t>
      </w:r>
      <w:r w:rsidR="003E15A0">
        <w:rPr>
          <w:lang w:val="en-US"/>
        </w:rPr>
        <w:t>ation mechanism under section 132 CCP, service through a mandatory electronic postbox</w:t>
      </w:r>
      <w:r w:rsidR="00E2210E">
        <w:rPr>
          <w:lang w:val="en-US"/>
        </w:rPr>
        <w:t xml:space="preserve">, </w:t>
      </w:r>
      <w:r w:rsidR="00DD286C">
        <w:rPr>
          <w:lang w:val="en-US"/>
        </w:rPr>
        <w:t xml:space="preserve">as a digital alternative to the conventional “analog” letterbox, </w:t>
      </w:r>
      <w:r w:rsidR="00E2210E">
        <w:rPr>
          <w:lang w:val="en-US"/>
        </w:rPr>
        <w:t xml:space="preserve">set up by the respective </w:t>
      </w:r>
      <w:r w:rsidR="00486C4A">
        <w:rPr>
          <w:lang w:val="en-US"/>
        </w:rPr>
        <w:t>state justice administration</w:t>
      </w:r>
      <w:r w:rsidR="00DD286C">
        <w:rPr>
          <w:lang w:val="en-US"/>
        </w:rPr>
        <w:t>,</w:t>
      </w:r>
      <w:r w:rsidR="003E15A0">
        <w:rPr>
          <w:lang w:val="en-US"/>
        </w:rPr>
        <w:t xml:space="preserve"> might be an option</w:t>
      </w:r>
      <w:r w:rsidR="00DD286C">
        <w:rPr>
          <w:lang w:val="en-US"/>
        </w:rPr>
        <w:t xml:space="preserve"> to create a </w:t>
      </w:r>
      <w:r w:rsidR="00106BA9">
        <w:rPr>
          <w:lang w:val="en-US"/>
        </w:rPr>
        <w:t xml:space="preserve">more </w:t>
      </w:r>
      <w:r w:rsidR="00DD286C">
        <w:rPr>
          <w:lang w:val="en-US"/>
        </w:rPr>
        <w:t>reliable means of communication for the judiciary and the accused.</w:t>
      </w:r>
      <w:r w:rsidR="003E15A0">
        <w:rPr>
          <w:rStyle w:val="Funotenzeichen"/>
          <w:lang w:val="en-US"/>
        </w:rPr>
        <w:footnoteReference w:id="171"/>
      </w:r>
      <w:r w:rsidR="003E15A0">
        <w:rPr>
          <w:lang w:val="en-US"/>
        </w:rPr>
        <w:t xml:space="preserve"> In the area of judicial cooperation in civil and commercial matters, the Digitali</w:t>
      </w:r>
      <w:r w:rsidR="000960A6">
        <w:rPr>
          <w:lang w:val="en-US"/>
        </w:rPr>
        <w:t>s</w:t>
      </w:r>
      <w:r w:rsidR="003E15A0">
        <w:rPr>
          <w:lang w:val="en-US"/>
        </w:rPr>
        <w:t>ation Regulation</w:t>
      </w:r>
      <w:r w:rsidR="003E15A0">
        <w:rPr>
          <w:rStyle w:val="Funotenzeichen"/>
          <w:lang w:val="en-US"/>
        </w:rPr>
        <w:footnoteReference w:id="172"/>
      </w:r>
      <w:r w:rsidR="003E15A0">
        <w:rPr>
          <w:lang w:val="en-US"/>
        </w:rPr>
        <w:t xml:space="preserve"> provides for electronic </w:t>
      </w:r>
      <w:r w:rsidR="003E15A0" w:rsidRPr="003E15A0">
        <w:rPr>
          <w:lang w:val="en-US"/>
        </w:rPr>
        <w:t xml:space="preserve">service </w:t>
      </w:r>
      <w:r w:rsidR="003E15A0">
        <w:rPr>
          <w:lang w:val="en-US"/>
        </w:rPr>
        <w:t xml:space="preserve">of judicial documents </w:t>
      </w:r>
      <w:r w:rsidR="003E15A0" w:rsidRPr="003E15A0">
        <w:rPr>
          <w:lang w:val="en-US"/>
        </w:rPr>
        <w:t>through the European electronic access point</w:t>
      </w:r>
      <w:r w:rsidR="003E15A0">
        <w:rPr>
          <w:lang w:val="en-US"/>
        </w:rPr>
        <w:t xml:space="preserve"> on the European e-Justice Portal; </w:t>
      </w:r>
      <w:r w:rsidR="00F8290D" w:rsidRPr="007C4F5E">
        <w:rPr>
          <w:i/>
          <w:lang w:val="en-US"/>
        </w:rPr>
        <w:t>de lege ferenda</w:t>
      </w:r>
      <w:r w:rsidR="00F8290D">
        <w:rPr>
          <w:lang w:val="en-US"/>
        </w:rPr>
        <w:t xml:space="preserve"> </w:t>
      </w:r>
      <w:r w:rsidR="003E15A0">
        <w:rPr>
          <w:lang w:val="en-US"/>
        </w:rPr>
        <w:t>the EU legislator might extend the scope of this mechanism to judicial cooperation in criminal matters.</w:t>
      </w:r>
    </w:p>
    <w:p w14:paraId="340AE552" w14:textId="77777777" w:rsidR="009C796F" w:rsidRPr="00B54439" w:rsidRDefault="009C796F" w:rsidP="007C4F5E">
      <w:pPr>
        <w:spacing w:line="360" w:lineRule="auto"/>
        <w:jc w:val="both"/>
        <w:rPr>
          <w:lang w:val="en-US"/>
        </w:rPr>
      </w:pPr>
    </w:p>
    <w:p w14:paraId="044E59D4" w14:textId="5D4D0406" w:rsidR="00B54B8E" w:rsidRDefault="00B54B8E" w:rsidP="00777A20">
      <w:pPr>
        <w:spacing w:line="360" w:lineRule="auto"/>
        <w:ind w:left="1843"/>
        <w:jc w:val="both"/>
        <w:rPr>
          <w:lang w:val="de-DE"/>
        </w:rPr>
      </w:pPr>
      <w:r w:rsidRPr="002768A4">
        <w:rPr>
          <w:lang w:val="de-DE"/>
        </w:rPr>
        <w:t>(dd) Other (?)</w:t>
      </w:r>
    </w:p>
    <w:p w14:paraId="0F8F53B2" w14:textId="77777777" w:rsidR="00D80C49" w:rsidRPr="002768A4" w:rsidRDefault="00D80C49" w:rsidP="00777A20">
      <w:pPr>
        <w:spacing w:line="360" w:lineRule="auto"/>
        <w:ind w:left="1843"/>
        <w:jc w:val="both"/>
        <w:rPr>
          <w:lang w:val="de-DE"/>
        </w:rPr>
      </w:pPr>
    </w:p>
    <w:p w14:paraId="4CD8C40D" w14:textId="77777777" w:rsidR="00B54B8E" w:rsidRPr="00B54B8E" w:rsidRDefault="00B54B8E" w:rsidP="00777A20">
      <w:pPr>
        <w:pStyle w:val="berschrift5"/>
        <w:ind w:left="1843" w:hanging="425"/>
        <w:rPr>
          <w:lang w:val="en-GB"/>
        </w:rPr>
      </w:pPr>
      <w:bookmarkStart w:id="144" w:name="_Toc147328975"/>
      <w:bookmarkStart w:id="145" w:name="_Toc147329087"/>
      <w:bookmarkStart w:id="146" w:name="_Toc170228517"/>
      <w:r w:rsidRPr="00B54B8E">
        <w:rPr>
          <w:lang w:val="en-GB"/>
        </w:rPr>
        <w:t>Person concerned is present in another MS</w:t>
      </w:r>
      <w:bookmarkEnd w:id="144"/>
      <w:bookmarkEnd w:id="145"/>
      <w:bookmarkEnd w:id="146"/>
    </w:p>
    <w:p w14:paraId="32E5FCBE" w14:textId="77777777" w:rsidR="00B54B8E" w:rsidRPr="00353C2A" w:rsidRDefault="00B54B8E" w:rsidP="00777A20">
      <w:pPr>
        <w:spacing w:line="360" w:lineRule="auto"/>
        <w:ind w:left="1843"/>
        <w:jc w:val="both"/>
        <w:rPr>
          <w:lang w:val="en-GB"/>
        </w:rPr>
      </w:pPr>
      <w:r w:rsidRPr="00353C2A">
        <w:rPr>
          <w:lang w:val="en-GB"/>
        </w:rPr>
        <w:t>(aa) Executing investigative measures/prosecution such as interrogating the suspect</w:t>
      </w:r>
    </w:p>
    <w:p w14:paraId="3C1DCC95" w14:textId="7FD3A010" w:rsidR="00B54B8E" w:rsidRPr="00B54B8E" w:rsidRDefault="00B54B8E" w:rsidP="00777A20">
      <w:pPr>
        <w:pStyle w:val="Listenabsatz"/>
        <w:numPr>
          <w:ilvl w:val="0"/>
          <w:numId w:val="32"/>
        </w:numPr>
        <w:spacing w:line="360" w:lineRule="auto"/>
        <w:ind w:left="2410" w:hanging="142"/>
        <w:jc w:val="both"/>
        <w:rPr>
          <w:color w:val="000000" w:themeColor="text1"/>
          <w:lang w:val="en-GB"/>
        </w:rPr>
      </w:pPr>
      <w:r w:rsidRPr="00B54B8E">
        <w:rPr>
          <w:color w:val="000000" w:themeColor="text1"/>
          <w:lang w:val="en-GB"/>
        </w:rPr>
        <w:t>DR 2014/41</w:t>
      </w:r>
      <w:r w:rsidR="00DE69B4">
        <w:rPr>
          <w:rStyle w:val="Funotenzeichen"/>
          <w:color w:val="000000" w:themeColor="text1"/>
          <w:lang w:val="en-GB"/>
        </w:rPr>
        <w:footnoteReference w:id="173"/>
      </w:r>
    </w:p>
    <w:p w14:paraId="2EBEE225" w14:textId="77777777" w:rsidR="002768A4" w:rsidRDefault="00B54B8E" w:rsidP="00777A20">
      <w:pPr>
        <w:spacing w:line="360" w:lineRule="auto"/>
        <w:ind w:left="2268"/>
        <w:jc w:val="both"/>
        <w:rPr>
          <w:color w:val="FF0000"/>
          <w:lang w:val="en-GB"/>
        </w:rPr>
      </w:pPr>
      <w:r w:rsidRPr="00353C2A">
        <w:rPr>
          <w:color w:val="FF0000"/>
          <w:lang w:val="en-GB"/>
        </w:rPr>
        <w:t>Temporary transfer</w:t>
      </w:r>
      <w:r w:rsidR="005F4ACA">
        <w:rPr>
          <w:rStyle w:val="Funotenzeichen"/>
          <w:color w:val="FF0000"/>
          <w:lang w:val="en-GB"/>
        </w:rPr>
        <w:footnoteReference w:id="174"/>
      </w:r>
    </w:p>
    <w:p w14:paraId="65D6446F" w14:textId="6876882F" w:rsidR="002768A4" w:rsidRPr="008B00CC" w:rsidRDefault="008B00CC" w:rsidP="008B00CC">
      <w:pPr>
        <w:spacing w:line="360" w:lineRule="auto"/>
        <w:jc w:val="both"/>
        <w:rPr>
          <w:lang w:val="en-US"/>
        </w:rPr>
      </w:pPr>
      <w:r>
        <w:rPr>
          <w:lang w:val="en-US"/>
        </w:rPr>
        <w:t>T</w:t>
      </w:r>
      <w:r w:rsidRPr="008B00CC">
        <w:rPr>
          <w:lang w:val="en-US"/>
        </w:rPr>
        <w:t>he transfer of a suspect who is detained in another Member State, cannot be requested by a</w:t>
      </w:r>
      <w:r w:rsidR="001C67F0">
        <w:rPr>
          <w:lang w:val="en-US"/>
        </w:rPr>
        <w:t>n</w:t>
      </w:r>
      <w:r w:rsidRPr="008B00CC">
        <w:rPr>
          <w:lang w:val="en-US"/>
        </w:rPr>
        <w:t xml:space="preserve"> EIO because the EAW is the suitable and primar</w:t>
      </w:r>
      <w:r w:rsidRPr="00451282">
        <w:rPr>
          <w:lang w:val="en-US"/>
        </w:rPr>
        <w:t xml:space="preserve">y cooperation instrument for the surrender of </w:t>
      </w:r>
      <w:r w:rsidRPr="00451282">
        <w:rPr>
          <w:lang w:val="en-US"/>
        </w:rPr>
        <w:lastRenderedPageBreak/>
        <w:t>accused persons (</w:t>
      </w:r>
      <w:r w:rsidRPr="00451282">
        <w:rPr>
          <w:i/>
          <w:lang w:val="en-US"/>
        </w:rPr>
        <w:t xml:space="preserve">supra </w:t>
      </w:r>
      <w:r w:rsidRPr="00451282">
        <w:rPr>
          <w:lang w:val="en-US"/>
        </w:rPr>
        <w:t>2.1.1.).</w:t>
      </w:r>
      <w:r w:rsidR="00205683" w:rsidRPr="00451282">
        <w:rPr>
          <w:lang w:val="en-US"/>
        </w:rPr>
        <w:t xml:space="preserve"> </w:t>
      </w:r>
      <w:r w:rsidR="00451282" w:rsidRPr="00451282">
        <w:rPr>
          <w:lang w:val="en-US"/>
        </w:rPr>
        <w:t>This view is also reflected in No. 119(4) GICCM stating that the transfer of an accused person for prosecution is exclusively governed by the rules on (provisional) extradition.</w:t>
      </w:r>
      <w:r w:rsidR="00451282" w:rsidRPr="00451282">
        <w:rPr>
          <w:rStyle w:val="Funotenzeichen"/>
          <w:lang w:val="en-US"/>
        </w:rPr>
        <w:footnoteReference w:id="175"/>
      </w:r>
      <w:r w:rsidR="00451282" w:rsidRPr="00451282">
        <w:rPr>
          <w:lang w:val="en-US"/>
        </w:rPr>
        <w:t xml:space="preserve"> The AICCM, however, does not provide for a temporary transfer of the arrested person to the issuing Member State; accordingly, there is no practice on outgoing requests for temporary transfer of the suspect.</w:t>
      </w:r>
      <w:r w:rsidR="00451282" w:rsidRPr="00451282">
        <w:rPr>
          <w:rStyle w:val="Funotenzeichen"/>
          <w:lang w:val="en-US"/>
        </w:rPr>
        <w:footnoteReference w:id="176"/>
      </w:r>
      <w:r w:rsidR="00451282">
        <w:rPr>
          <w:lang w:val="en-US"/>
        </w:rPr>
        <w:t xml:space="preserve"> </w:t>
      </w:r>
    </w:p>
    <w:p w14:paraId="5E3E3583" w14:textId="6C6A00CA" w:rsidR="00B54B8E" w:rsidRPr="008B00CC" w:rsidRDefault="002768A4" w:rsidP="00777A20">
      <w:pPr>
        <w:spacing w:line="360" w:lineRule="auto"/>
        <w:ind w:left="2268"/>
        <w:jc w:val="both"/>
        <w:rPr>
          <w:color w:val="FF0000"/>
          <w:lang w:val="en-US"/>
        </w:rPr>
      </w:pPr>
      <w:r w:rsidRPr="008B00CC">
        <w:rPr>
          <w:color w:val="FF0000"/>
          <w:lang w:val="en-US"/>
        </w:rPr>
        <w:t>V</w:t>
      </w:r>
      <w:r w:rsidR="00B54B8E" w:rsidRPr="008B00CC">
        <w:rPr>
          <w:color w:val="FF0000"/>
          <w:lang w:val="en-US"/>
        </w:rPr>
        <w:t>ideoconference</w:t>
      </w:r>
    </w:p>
    <w:p w14:paraId="1166C441" w14:textId="26536976" w:rsidR="008B00CC" w:rsidRPr="00E12221" w:rsidRDefault="002E180D" w:rsidP="008B00CC">
      <w:pPr>
        <w:spacing w:line="360" w:lineRule="auto"/>
        <w:jc w:val="both"/>
        <w:rPr>
          <w:lang w:val="en-US"/>
        </w:rPr>
      </w:pPr>
      <w:r>
        <w:rPr>
          <w:lang w:val="en-US"/>
        </w:rPr>
        <w:t>According to national law, t</w:t>
      </w:r>
      <w:r w:rsidR="008B00CC" w:rsidRPr="008B00CC">
        <w:rPr>
          <w:lang w:val="en-US"/>
        </w:rPr>
        <w:t>he issuing of a</w:t>
      </w:r>
      <w:r w:rsidR="001C67F0">
        <w:rPr>
          <w:lang w:val="en-US"/>
        </w:rPr>
        <w:t>n</w:t>
      </w:r>
      <w:r w:rsidR="008B00CC" w:rsidRPr="008B00CC">
        <w:rPr>
          <w:lang w:val="en-US"/>
        </w:rPr>
        <w:t xml:space="preserve"> EIO (e.g. for an interrogation via videoconference) does not require that detention on remand is possible because there is no threshold for the interrogation of a suspect.</w:t>
      </w:r>
      <w:r w:rsidR="008B00CC">
        <w:rPr>
          <w:lang w:val="en-US"/>
        </w:rPr>
        <w:t xml:space="preserve"> In </w:t>
      </w:r>
      <w:r w:rsidR="003673A6">
        <w:rPr>
          <w:lang w:val="en-US"/>
        </w:rPr>
        <w:t>contrast to other countries</w:t>
      </w:r>
      <w:r w:rsidR="003673A6">
        <w:rPr>
          <w:rStyle w:val="Funotenzeichen"/>
          <w:lang w:val="en-US"/>
        </w:rPr>
        <w:footnoteReference w:id="177"/>
      </w:r>
      <w:r w:rsidR="008B00CC">
        <w:rPr>
          <w:lang w:val="en-US"/>
        </w:rPr>
        <w:t xml:space="preserve">, however, </w:t>
      </w:r>
      <w:r w:rsidR="009A7A2B">
        <w:rPr>
          <w:lang w:val="en-US"/>
        </w:rPr>
        <w:t xml:space="preserve">German </w:t>
      </w:r>
      <w:r w:rsidR="008B00CC">
        <w:rPr>
          <w:lang w:val="en-US"/>
        </w:rPr>
        <w:t>prosecutors do not use this cooperation instrument</w:t>
      </w:r>
      <w:r w:rsidR="00E12221">
        <w:rPr>
          <w:lang w:val="en-US"/>
        </w:rPr>
        <w:t>; instead, they</w:t>
      </w:r>
      <w:r w:rsidR="008B00CC">
        <w:rPr>
          <w:lang w:val="en-US"/>
        </w:rPr>
        <w:t xml:space="preserve"> request for an interrogation by the police or a written statement by the accused person</w:t>
      </w:r>
      <w:r w:rsidR="00F14F4A">
        <w:rPr>
          <w:lang w:val="en-US"/>
        </w:rPr>
        <w:t xml:space="preserve"> in order to comply with the latter’s right to be heard</w:t>
      </w:r>
      <w:r w:rsidR="008B00CC">
        <w:rPr>
          <w:lang w:val="en-US"/>
        </w:rPr>
        <w:t>.</w:t>
      </w:r>
      <w:r w:rsidR="008B00CC">
        <w:rPr>
          <w:rStyle w:val="Funotenzeichen"/>
          <w:lang w:val="en-US"/>
        </w:rPr>
        <w:footnoteReference w:id="178"/>
      </w:r>
      <w:r w:rsidR="004B559C">
        <w:rPr>
          <w:lang w:val="en-US"/>
        </w:rPr>
        <w:t xml:space="preserve"> As a matter of principle, this cooperation instrument is available and used for the interrogation of suspects and accused persons.</w:t>
      </w:r>
      <w:r w:rsidR="004B559C">
        <w:rPr>
          <w:rStyle w:val="Funotenzeichen"/>
          <w:lang w:val="en-US"/>
        </w:rPr>
        <w:footnoteReference w:id="179"/>
      </w:r>
    </w:p>
    <w:p w14:paraId="04D0383B" w14:textId="3BC86AC0" w:rsidR="002768A4" w:rsidRPr="008B00CC" w:rsidRDefault="002768A4" w:rsidP="008B00CC">
      <w:pPr>
        <w:spacing w:line="360" w:lineRule="auto"/>
        <w:jc w:val="both"/>
        <w:rPr>
          <w:color w:val="FF0000"/>
          <w:lang w:val="en-US"/>
        </w:rPr>
      </w:pPr>
    </w:p>
    <w:p w14:paraId="1397C413" w14:textId="77777777" w:rsidR="00B54B8E" w:rsidRPr="00B54B8E" w:rsidRDefault="00B54B8E" w:rsidP="00777A20">
      <w:pPr>
        <w:pStyle w:val="Listenabsatz"/>
        <w:numPr>
          <w:ilvl w:val="0"/>
          <w:numId w:val="32"/>
        </w:numPr>
        <w:spacing w:line="360" w:lineRule="auto"/>
        <w:ind w:left="2410" w:hanging="142"/>
        <w:jc w:val="both"/>
        <w:rPr>
          <w:color w:val="000000" w:themeColor="text1"/>
          <w:lang w:val="fr-FR"/>
        </w:rPr>
      </w:pPr>
      <w:r w:rsidRPr="00B54B8E">
        <w:rPr>
          <w:color w:val="000000" w:themeColor="text1"/>
          <w:lang w:val="fr-FR"/>
        </w:rPr>
        <w:t>EU Convention on Mutual Assistance</w:t>
      </w:r>
    </w:p>
    <w:p w14:paraId="4049CC71" w14:textId="77777777" w:rsidR="00B54B8E" w:rsidRPr="00BC5ED2" w:rsidRDefault="00B54B8E" w:rsidP="00777A20">
      <w:pPr>
        <w:spacing w:line="360" w:lineRule="auto"/>
        <w:ind w:left="2268"/>
        <w:jc w:val="both"/>
        <w:rPr>
          <w:color w:val="FF0000"/>
          <w:lang w:val="en-US"/>
        </w:rPr>
      </w:pPr>
      <w:r w:rsidRPr="00353C2A">
        <w:rPr>
          <w:color w:val="FF0000"/>
          <w:lang w:val="en-GB"/>
        </w:rPr>
        <w:t xml:space="preserve">Inviting him for an interrogation or confrontation etc. </w:t>
      </w:r>
      <w:r w:rsidRPr="00BC5ED2">
        <w:rPr>
          <w:color w:val="FF0000"/>
          <w:lang w:val="en-US"/>
        </w:rPr>
        <w:t>(sending/service documents)</w:t>
      </w:r>
    </w:p>
    <w:p w14:paraId="4EA634E9" w14:textId="3FC7C71C" w:rsidR="00E12221" w:rsidRDefault="00E12221" w:rsidP="00E12221">
      <w:pPr>
        <w:spacing w:line="360" w:lineRule="auto"/>
        <w:jc w:val="both"/>
        <w:rPr>
          <w:lang w:val="en-US"/>
        </w:rPr>
      </w:pPr>
      <w:r w:rsidRPr="00E12221">
        <w:rPr>
          <w:lang w:val="en-US"/>
        </w:rPr>
        <w:t>Serving a summons to the accused person is not subject to a particular threshold</w:t>
      </w:r>
      <w:r w:rsidR="002E180D">
        <w:rPr>
          <w:lang w:val="en-US"/>
        </w:rPr>
        <w:t xml:space="preserve"> under national law</w:t>
      </w:r>
      <w:r w:rsidRPr="00E12221">
        <w:rPr>
          <w:lang w:val="en-US"/>
        </w:rPr>
        <w:t>, either. Again, prosecutors do not use this cooperation instrument; instead, they request for an interrogation by the police or a written statement by the accused person.</w:t>
      </w:r>
      <w:r w:rsidRPr="00E12221">
        <w:rPr>
          <w:rStyle w:val="Funotenzeichen"/>
          <w:lang w:val="en-US"/>
        </w:rPr>
        <w:footnoteReference w:id="180"/>
      </w:r>
      <w:r w:rsidR="004B559C">
        <w:rPr>
          <w:lang w:val="en-US"/>
        </w:rPr>
        <w:t xml:space="preserve"> In practice, it is often difficult to establish that the summons has been served to the defendant so that he is actually aware </w:t>
      </w:r>
      <w:r w:rsidR="00BA6EEF">
        <w:rPr>
          <w:lang w:val="en-US"/>
        </w:rPr>
        <w:t xml:space="preserve">of the intended interrogation (see also </w:t>
      </w:r>
      <w:r w:rsidR="00BA6EEF">
        <w:rPr>
          <w:i/>
          <w:lang w:val="en-US"/>
        </w:rPr>
        <w:t xml:space="preserve">supra </w:t>
      </w:r>
      <w:r w:rsidR="00BA6EEF">
        <w:rPr>
          <w:lang w:val="en-US"/>
        </w:rPr>
        <w:t>2.1.1.); in this regard a harmonized framework for serving summons and other documents would be useful.</w:t>
      </w:r>
      <w:r w:rsidR="00BA6EEF">
        <w:rPr>
          <w:rStyle w:val="Funotenzeichen"/>
          <w:lang w:val="en-US"/>
        </w:rPr>
        <w:footnoteReference w:id="181"/>
      </w:r>
    </w:p>
    <w:p w14:paraId="58BBF04D" w14:textId="77E89610" w:rsidR="00735CBE" w:rsidRPr="00E12221" w:rsidRDefault="00735CBE" w:rsidP="00E12221">
      <w:pPr>
        <w:spacing w:line="360" w:lineRule="auto"/>
        <w:jc w:val="both"/>
        <w:rPr>
          <w:lang w:val="en-US"/>
        </w:rPr>
      </w:pPr>
      <w:r>
        <w:rPr>
          <w:lang w:val="en-US"/>
        </w:rPr>
        <w:t xml:space="preserve">If the defendant is summoned for an interrogation, the summons is served without a warning </w:t>
      </w:r>
      <w:r w:rsidRPr="00301F6E">
        <w:rPr>
          <w:lang w:val="en-US"/>
        </w:rPr>
        <w:t>he will be arrested and brought before the court if he fails to appear</w:t>
      </w:r>
      <w:r>
        <w:rPr>
          <w:lang w:val="en-US"/>
        </w:rPr>
        <w:t xml:space="preserve"> (see for domestic cases: sections 133(2), 163a(3)2 CCP) because the issuing state must not exercise its jurisdiction to </w:t>
      </w:r>
      <w:r>
        <w:rPr>
          <w:lang w:val="en-US"/>
        </w:rPr>
        <w:lastRenderedPageBreak/>
        <w:t>enforce on the territory of a foreign state; therefore, the warning is added a note that coercive measures are not executed on the territory of the requested state (No. 116(1)2 GICCM).</w:t>
      </w:r>
      <w:r>
        <w:rPr>
          <w:rStyle w:val="Funotenzeichen"/>
          <w:lang w:val="en-US"/>
        </w:rPr>
        <w:footnoteReference w:id="182"/>
      </w:r>
    </w:p>
    <w:p w14:paraId="63471152" w14:textId="3E548651" w:rsidR="002768A4" w:rsidRPr="00BC5ED2" w:rsidRDefault="002768A4" w:rsidP="00777A20">
      <w:pPr>
        <w:spacing w:line="360" w:lineRule="auto"/>
        <w:ind w:left="2268"/>
        <w:jc w:val="both"/>
        <w:rPr>
          <w:color w:val="FF0000"/>
          <w:lang w:val="en-US"/>
        </w:rPr>
      </w:pPr>
    </w:p>
    <w:p w14:paraId="6A34E616" w14:textId="77777777" w:rsidR="00B54B8E" w:rsidRPr="00B54B8E" w:rsidRDefault="00B54B8E" w:rsidP="00777A20">
      <w:pPr>
        <w:pStyle w:val="Listenabsatz"/>
        <w:numPr>
          <w:ilvl w:val="0"/>
          <w:numId w:val="32"/>
        </w:numPr>
        <w:spacing w:line="360" w:lineRule="auto"/>
        <w:ind w:left="2410" w:hanging="142"/>
        <w:jc w:val="both"/>
        <w:rPr>
          <w:lang w:val="en-GB"/>
        </w:rPr>
      </w:pPr>
      <w:r w:rsidRPr="00B54B8E">
        <w:rPr>
          <w:lang w:val="en-GB"/>
        </w:rPr>
        <w:t>Convention on Transfer of Proceedings/European Convention on Mutual Assistance in Criminal Matters</w:t>
      </w:r>
    </w:p>
    <w:p w14:paraId="0A6BCE6F" w14:textId="77777777" w:rsidR="00B54B8E" w:rsidRDefault="00B54B8E" w:rsidP="00777A20">
      <w:pPr>
        <w:spacing w:line="360" w:lineRule="auto"/>
        <w:ind w:left="2268"/>
        <w:jc w:val="both"/>
        <w:rPr>
          <w:color w:val="FF0000"/>
          <w:lang w:val="en-GB"/>
        </w:rPr>
      </w:pPr>
      <w:r w:rsidRPr="00353C2A">
        <w:rPr>
          <w:color w:val="FF0000"/>
          <w:lang w:val="en-GB"/>
        </w:rPr>
        <w:t xml:space="preserve">Transferring the proceedings to that MS. This is not an instrument that provides for interrogating a suspect in another MS for the benefit of the investigation/prosecution in the issuing MS. However, given that the person concerned is present in another MS and his statement is needed, transferring the proceedings to the MS </w:t>
      </w:r>
      <w:r>
        <w:rPr>
          <w:color w:val="FF0000"/>
          <w:lang w:val="en-GB"/>
        </w:rPr>
        <w:t xml:space="preserve">of residence may be an option. </w:t>
      </w:r>
    </w:p>
    <w:p w14:paraId="4BB1ABDD" w14:textId="77777777" w:rsidR="00E12221" w:rsidRDefault="00E12221" w:rsidP="00E12221">
      <w:pPr>
        <w:spacing w:line="360" w:lineRule="auto"/>
        <w:jc w:val="both"/>
        <w:rPr>
          <w:color w:val="FF0000"/>
          <w:highlight w:val="yellow"/>
          <w:lang w:val="en-GB"/>
        </w:rPr>
      </w:pPr>
    </w:p>
    <w:p w14:paraId="3ECFE6B2" w14:textId="5566F378" w:rsidR="002768A4" w:rsidRDefault="00E12221" w:rsidP="00E12221">
      <w:pPr>
        <w:spacing w:line="360" w:lineRule="auto"/>
        <w:jc w:val="both"/>
        <w:rPr>
          <w:lang w:val="en-US"/>
        </w:rPr>
      </w:pPr>
      <w:r w:rsidRPr="00E12221">
        <w:rPr>
          <w:lang w:val="en-GB"/>
        </w:rPr>
        <w:t xml:space="preserve">Criminal proceedings can be transferred </w:t>
      </w:r>
      <w:r w:rsidRPr="00E12221">
        <w:rPr>
          <w:lang w:val="en-US"/>
        </w:rPr>
        <w:t>irrespective of whether or not detention on remand is possible (or ordered) and whether the suspect is present in the issuing state (Germany) or another Member State.</w:t>
      </w:r>
      <w:r>
        <w:rPr>
          <w:lang w:val="en-US"/>
        </w:rPr>
        <w:t xml:space="preserve"> However, a transfer of criminal proceedings usually requires that the accused person has been given the opportunity to give a statement</w:t>
      </w:r>
      <w:r w:rsidR="00DE4927">
        <w:rPr>
          <w:lang w:val="en-US"/>
        </w:rPr>
        <w:t>,</w:t>
      </w:r>
      <w:r w:rsidR="00810B30">
        <w:rPr>
          <w:rStyle w:val="Funotenzeichen"/>
          <w:lang w:val="en-US"/>
        </w:rPr>
        <w:footnoteReference w:id="183"/>
      </w:r>
      <w:r w:rsidR="00DE4927">
        <w:rPr>
          <w:lang w:val="en-US"/>
        </w:rPr>
        <w:t xml:space="preserve"> this requirement has also been included in Art. 6(3)</w:t>
      </w:r>
      <w:r w:rsidR="00C32E62">
        <w:rPr>
          <w:lang w:val="en-US"/>
        </w:rPr>
        <w:t xml:space="preserve"> lit. </w:t>
      </w:r>
      <w:r w:rsidR="00DE4927">
        <w:rPr>
          <w:lang w:val="en-US"/>
        </w:rPr>
        <w:t xml:space="preserve">b of </w:t>
      </w:r>
      <w:r w:rsidR="00CF6C96">
        <w:rPr>
          <w:lang w:val="en-US"/>
        </w:rPr>
        <w:t>Regulation (EU) 2024/3011 on the transfer of proceedings in criminal matters</w:t>
      </w:r>
      <w:r w:rsidR="00DE4927">
        <w:rPr>
          <w:lang w:val="en-US"/>
        </w:rPr>
        <w:t>.</w:t>
      </w:r>
      <w:r>
        <w:rPr>
          <w:lang w:val="en-US"/>
        </w:rPr>
        <w:t xml:space="preserve"> </w:t>
      </w:r>
      <w:r w:rsidR="00BD1377">
        <w:rPr>
          <w:lang w:val="en-US"/>
        </w:rPr>
        <w:t xml:space="preserve">Moreover, a defence lawyer criticized the </w:t>
      </w:r>
      <w:r w:rsidR="003673A6">
        <w:rPr>
          <w:lang w:val="en-US"/>
        </w:rPr>
        <w:t xml:space="preserve">lack of a proper legal basis and the </w:t>
      </w:r>
      <w:r w:rsidR="00BD1377">
        <w:rPr>
          <w:lang w:val="en-US"/>
        </w:rPr>
        <w:t>cumbersome procedure.</w:t>
      </w:r>
      <w:r w:rsidR="00BD1377">
        <w:rPr>
          <w:rStyle w:val="Funotenzeichen"/>
          <w:lang w:val="en-US"/>
        </w:rPr>
        <w:footnoteReference w:id="184"/>
      </w:r>
      <w:r w:rsidR="00BD1377">
        <w:rPr>
          <w:lang w:val="en-US"/>
        </w:rPr>
        <w:t xml:space="preserve"> </w:t>
      </w:r>
      <w:r w:rsidR="003673A6">
        <w:rPr>
          <w:lang w:val="en-US"/>
        </w:rPr>
        <w:t>The latter concerns have also been raised with regard to the draft regulation on transfer of proceedings</w:t>
      </w:r>
      <w:r w:rsidR="00055777">
        <w:rPr>
          <w:lang w:val="en-US"/>
        </w:rPr>
        <w:t xml:space="preserve"> in criminal matters</w:t>
      </w:r>
      <w:r w:rsidR="003673A6">
        <w:rPr>
          <w:lang w:val="en-US"/>
        </w:rPr>
        <w:t>.</w:t>
      </w:r>
      <w:r w:rsidR="003673A6">
        <w:rPr>
          <w:rStyle w:val="Funotenzeichen"/>
          <w:lang w:val="en-US"/>
        </w:rPr>
        <w:footnoteReference w:id="185"/>
      </w:r>
      <w:r w:rsidR="003673A6">
        <w:rPr>
          <w:lang w:val="en-US"/>
        </w:rPr>
        <w:t xml:space="preserve"> </w:t>
      </w:r>
      <w:r w:rsidR="00810B30">
        <w:rPr>
          <w:lang w:val="en-US"/>
        </w:rPr>
        <w:t>So, a transfer of proceedings is not an alternative to the interrogation of the accused person.</w:t>
      </w:r>
    </w:p>
    <w:p w14:paraId="337A6942" w14:textId="77777777" w:rsidR="00530E75" w:rsidRPr="00C31C6F" w:rsidRDefault="00530E75" w:rsidP="00E12221">
      <w:pPr>
        <w:spacing w:line="360" w:lineRule="auto"/>
        <w:jc w:val="both"/>
        <w:rPr>
          <w:color w:val="FF0000"/>
          <w:lang w:val="en-GB"/>
        </w:rPr>
      </w:pPr>
    </w:p>
    <w:p w14:paraId="64DB3623" w14:textId="77777777" w:rsidR="00B54B8E" w:rsidRPr="00353C2A" w:rsidRDefault="00B54B8E" w:rsidP="00777A20">
      <w:pPr>
        <w:spacing w:line="360" w:lineRule="auto"/>
        <w:ind w:left="1843"/>
        <w:jc w:val="both"/>
        <w:rPr>
          <w:lang w:val="en-GB"/>
        </w:rPr>
      </w:pPr>
      <w:r w:rsidRPr="00353C2A">
        <w:rPr>
          <w:lang w:val="en-GB"/>
        </w:rPr>
        <w:t xml:space="preserve">(bb) Ensuring that the suspect is available </w:t>
      </w:r>
    </w:p>
    <w:p w14:paraId="48B8D74C" w14:textId="77777777" w:rsidR="00B54B8E" w:rsidRPr="00B54B8E" w:rsidRDefault="00B54B8E" w:rsidP="00777A20">
      <w:pPr>
        <w:pStyle w:val="Listenabsatz"/>
        <w:numPr>
          <w:ilvl w:val="0"/>
          <w:numId w:val="32"/>
        </w:numPr>
        <w:spacing w:line="360" w:lineRule="auto"/>
        <w:ind w:left="2410" w:hanging="142"/>
        <w:jc w:val="both"/>
        <w:rPr>
          <w:lang w:val="en-GB"/>
        </w:rPr>
      </w:pPr>
      <w:r w:rsidRPr="00B54B8E">
        <w:rPr>
          <w:lang w:val="en-GB"/>
        </w:rPr>
        <w:t xml:space="preserve">FD 2009/829/JHA </w:t>
      </w:r>
      <w:r w:rsidRPr="00B54B8E">
        <w:rPr>
          <w:color w:val="FF0000"/>
          <w:lang w:val="en-GB"/>
        </w:rPr>
        <w:t>(?)</w:t>
      </w:r>
    </w:p>
    <w:p w14:paraId="2693698F" w14:textId="69972C8A" w:rsidR="00344085" w:rsidRDefault="00B54B8E" w:rsidP="00E40716">
      <w:pPr>
        <w:spacing w:line="360" w:lineRule="auto"/>
        <w:ind w:left="2268"/>
        <w:jc w:val="both"/>
        <w:rPr>
          <w:color w:val="FF0000"/>
          <w:lang w:val="en-GB"/>
        </w:rPr>
      </w:pPr>
      <w:r w:rsidRPr="00353C2A">
        <w:rPr>
          <w:color w:val="FF0000"/>
          <w:lang w:val="en-GB"/>
        </w:rPr>
        <w:t xml:space="preserve">ESO possible </w:t>
      </w:r>
      <w:r w:rsidRPr="00353C2A">
        <w:rPr>
          <w:color w:val="FF0000"/>
          <w:u w:val="single"/>
          <w:lang w:val="en-GB"/>
        </w:rPr>
        <w:t>under national law</w:t>
      </w:r>
      <w:r w:rsidR="00344085">
        <w:rPr>
          <w:color w:val="FF0000"/>
          <w:lang w:val="en-GB"/>
        </w:rPr>
        <w:t>?</w:t>
      </w:r>
    </w:p>
    <w:p w14:paraId="68773569" w14:textId="6CCEF01B" w:rsidR="00344085" w:rsidRPr="00344085" w:rsidRDefault="00344085" w:rsidP="00344085">
      <w:pPr>
        <w:spacing w:line="360" w:lineRule="auto"/>
        <w:jc w:val="both"/>
        <w:rPr>
          <w:lang w:val="en-GB"/>
        </w:rPr>
      </w:pPr>
      <w:r w:rsidRPr="00344085">
        <w:rPr>
          <w:lang w:val="en-GB"/>
        </w:rPr>
        <w:t>No, if detention on remand is not possible (i.e. without an arrest warrant), a</w:t>
      </w:r>
      <w:r w:rsidR="001C67F0">
        <w:rPr>
          <w:lang w:val="en-GB"/>
        </w:rPr>
        <w:t>n</w:t>
      </w:r>
      <w:r w:rsidRPr="00344085">
        <w:rPr>
          <w:lang w:val="en-GB"/>
        </w:rPr>
        <w:t xml:space="preserve"> ESO must not be issued, either (</w:t>
      </w:r>
      <w:r w:rsidRPr="00344085">
        <w:rPr>
          <w:i/>
          <w:lang w:val="en-GB"/>
        </w:rPr>
        <w:t xml:space="preserve">supra </w:t>
      </w:r>
      <w:r w:rsidRPr="00344085">
        <w:rPr>
          <w:lang w:val="en-GB"/>
        </w:rPr>
        <w:t>(a)).</w:t>
      </w:r>
    </w:p>
    <w:p w14:paraId="0203D7B7" w14:textId="77777777" w:rsidR="00344085" w:rsidRDefault="00344085" w:rsidP="00344085">
      <w:pPr>
        <w:spacing w:line="360" w:lineRule="auto"/>
        <w:jc w:val="both"/>
        <w:rPr>
          <w:color w:val="FF0000"/>
          <w:lang w:val="en-GB"/>
        </w:rPr>
      </w:pPr>
    </w:p>
    <w:p w14:paraId="05C77A97" w14:textId="77777777" w:rsidR="00B54B8E" w:rsidRPr="00B54B8E" w:rsidRDefault="00B54B8E" w:rsidP="00777A20">
      <w:pPr>
        <w:pStyle w:val="Listenabsatz"/>
        <w:numPr>
          <w:ilvl w:val="0"/>
          <w:numId w:val="32"/>
        </w:numPr>
        <w:spacing w:line="360" w:lineRule="auto"/>
        <w:ind w:left="2410" w:hanging="142"/>
        <w:jc w:val="both"/>
        <w:rPr>
          <w:lang w:val="fr-FR"/>
        </w:rPr>
      </w:pPr>
      <w:r w:rsidRPr="00B54B8E">
        <w:rPr>
          <w:lang w:val="fr-FR"/>
        </w:rPr>
        <w:t>EU Convention on Mutual Assistance</w:t>
      </w:r>
    </w:p>
    <w:p w14:paraId="50B6A522" w14:textId="77777777" w:rsidR="00B54B8E" w:rsidRDefault="00B54B8E" w:rsidP="00777A20">
      <w:pPr>
        <w:spacing w:line="360" w:lineRule="auto"/>
        <w:ind w:left="2268"/>
        <w:jc w:val="both"/>
        <w:rPr>
          <w:color w:val="FF0000"/>
          <w:lang w:val="en-GB"/>
        </w:rPr>
      </w:pPr>
      <w:r w:rsidRPr="00353C2A">
        <w:rPr>
          <w:color w:val="FF0000"/>
          <w:lang w:val="en-GB"/>
        </w:rPr>
        <w:lastRenderedPageBreak/>
        <w:t>Keeping in contact with him while he’s abroad (sending/service documents)</w:t>
      </w:r>
    </w:p>
    <w:p w14:paraId="73B2C982" w14:textId="628BC2F5" w:rsidR="00810B30" w:rsidRDefault="00810B30" w:rsidP="00810B30">
      <w:pPr>
        <w:spacing w:line="360" w:lineRule="auto"/>
        <w:jc w:val="both"/>
        <w:rPr>
          <w:color w:val="FF0000"/>
          <w:lang w:val="en-GB"/>
        </w:rPr>
      </w:pPr>
      <w:r>
        <w:rPr>
          <w:lang w:val="en-US"/>
        </w:rPr>
        <w:t>As has been mentioned before, s</w:t>
      </w:r>
      <w:r w:rsidRPr="00E12221">
        <w:rPr>
          <w:lang w:val="en-US"/>
        </w:rPr>
        <w:t xml:space="preserve">erving a summons </w:t>
      </w:r>
      <w:r>
        <w:rPr>
          <w:lang w:val="en-US"/>
        </w:rPr>
        <w:t xml:space="preserve">or other documents </w:t>
      </w:r>
      <w:r w:rsidRPr="00E12221">
        <w:rPr>
          <w:lang w:val="en-US"/>
        </w:rPr>
        <w:t>to the accused person is not su</w:t>
      </w:r>
      <w:r>
        <w:rPr>
          <w:lang w:val="en-US"/>
        </w:rPr>
        <w:t>bject to a particular threshold. In practice, however, public prosecutors do not use this cooperation instrument.</w:t>
      </w:r>
    </w:p>
    <w:p w14:paraId="6E71E0A8" w14:textId="60218DB8" w:rsidR="002768A4" w:rsidRPr="00D831F7" w:rsidRDefault="002768A4" w:rsidP="00777A20">
      <w:pPr>
        <w:spacing w:line="360" w:lineRule="auto"/>
        <w:ind w:left="2268"/>
        <w:jc w:val="both"/>
        <w:rPr>
          <w:color w:val="FF0000"/>
          <w:lang w:val="en-US"/>
        </w:rPr>
      </w:pPr>
    </w:p>
    <w:p w14:paraId="09E9DEA0" w14:textId="77777777" w:rsidR="00B54B8E" w:rsidRPr="00B54B8E" w:rsidRDefault="00B54B8E" w:rsidP="00777A20">
      <w:pPr>
        <w:pStyle w:val="Listenabsatz"/>
        <w:numPr>
          <w:ilvl w:val="0"/>
          <w:numId w:val="32"/>
        </w:numPr>
        <w:spacing w:line="360" w:lineRule="auto"/>
        <w:ind w:left="2410" w:hanging="142"/>
        <w:jc w:val="both"/>
        <w:rPr>
          <w:lang w:val="en-GB"/>
        </w:rPr>
      </w:pPr>
      <w:r w:rsidRPr="00B54B8E">
        <w:rPr>
          <w:lang w:val="en-GB"/>
        </w:rPr>
        <w:t>Convention on Transfer of Proceedings/European Convention on Mutual Assistance in Criminal Matters</w:t>
      </w:r>
    </w:p>
    <w:p w14:paraId="6C0E485C" w14:textId="77777777" w:rsidR="00B54B8E" w:rsidRDefault="00B54B8E" w:rsidP="00777A20">
      <w:pPr>
        <w:spacing w:line="360" w:lineRule="auto"/>
        <w:ind w:left="2268"/>
        <w:jc w:val="both"/>
        <w:rPr>
          <w:color w:val="FF0000"/>
          <w:lang w:val="en-GB"/>
        </w:rPr>
      </w:pPr>
      <w:r w:rsidRPr="00353C2A">
        <w:rPr>
          <w:color w:val="FF0000"/>
          <w:lang w:val="en-GB"/>
        </w:rPr>
        <w:t>Transferring the proceedings to that MS. This is not an instrument that provides for ensuring that the suspect is available for the benefit of the investigation/prosecution in the issuing MS. However, given that the person concerned is present in another MS, transferring the proceedings to tha</w:t>
      </w:r>
      <w:r>
        <w:rPr>
          <w:color w:val="FF0000"/>
          <w:lang w:val="en-GB"/>
        </w:rPr>
        <w:t>t MS may be an option.</w:t>
      </w:r>
    </w:p>
    <w:p w14:paraId="0246AE4E" w14:textId="77777777" w:rsidR="00810B30" w:rsidRPr="00BC5ED2" w:rsidRDefault="00810B30" w:rsidP="00810B30">
      <w:pPr>
        <w:spacing w:line="360" w:lineRule="auto"/>
        <w:jc w:val="both"/>
        <w:rPr>
          <w:color w:val="FF0000"/>
          <w:highlight w:val="yellow"/>
          <w:lang w:val="en-US"/>
        </w:rPr>
      </w:pPr>
    </w:p>
    <w:p w14:paraId="64AB79BB" w14:textId="6794A430" w:rsidR="00640657" w:rsidRDefault="00810B30" w:rsidP="006A5FA1">
      <w:pPr>
        <w:spacing w:line="360" w:lineRule="auto"/>
        <w:jc w:val="both"/>
        <w:rPr>
          <w:rFonts w:asciiTheme="majorBidi" w:hAnsiTheme="majorBidi" w:cstheme="majorBidi"/>
          <w:color w:val="000000" w:themeColor="text1"/>
          <w:lang w:val="en-US"/>
        </w:rPr>
      </w:pPr>
      <w:r w:rsidRPr="00810B30">
        <w:rPr>
          <w:lang w:val="en-US"/>
        </w:rPr>
        <w:t>C</w:t>
      </w:r>
      <w:r w:rsidRPr="00810B30">
        <w:rPr>
          <w:lang w:val="en-GB"/>
        </w:rPr>
        <w:t xml:space="preserve">riminal proceedings can be transferred </w:t>
      </w:r>
      <w:r w:rsidRPr="00810B30">
        <w:rPr>
          <w:lang w:val="en-US"/>
        </w:rPr>
        <w:t>irrespective of whether or not detention on remand is possible (or ordered) and whether the suspect is present in the issuing state (Germany) or another Member State. If the suspect, however, is present in another Member State and cannot be surrendered on the basis of a</w:t>
      </w:r>
      <w:r w:rsidR="00127DD2">
        <w:rPr>
          <w:lang w:val="en-US"/>
        </w:rPr>
        <w:t>n</w:t>
      </w:r>
      <w:r w:rsidRPr="00810B30">
        <w:rPr>
          <w:lang w:val="en-US"/>
        </w:rPr>
        <w:t xml:space="preserve"> EAW, the public prosecutor shall consider a transfer of</w:t>
      </w:r>
      <w:r w:rsidR="00EE716E">
        <w:rPr>
          <w:lang w:val="en-US"/>
        </w:rPr>
        <w:t xml:space="preserve"> proceedings (No. 145(1) GICCM); this applies in particular to cases where the evidence is located in the requested state, too.</w:t>
      </w:r>
      <w:r w:rsidR="00EE716E">
        <w:rPr>
          <w:rStyle w:val="Funotenzeichen"/>
          <w:lang w:val="en-US"/>
        </w:rPr>
        <w:footnoteReference w:id="186"/>
      </w:r>
      <w:r w:rsidR="00BD1377">
        <w:rPr>
          <w:lang w:val="en-US"/>
        </w:rPr>
        <w:t xml:space="preserve"> </w:t>
      </w:r>
      <w:r w:rsidR="006A5FA1">
        <w:rPr>
          <w:lang w:val="en-US"/>
        </w:rPr>
        <w:t>These</w:t>
      </w:r>
      <w:r w:rsidR="0095741C">
        <w:rPr>
          <w:lang w:val="en-US"/>
        </w:rPr>
        <w:t xml:space="preserve"> factors</w:t>
      </w:r>
      <w:r w:rsidR="006A5FA1">
        <w:rPr>
          <w:lang w:val="en-US"/>
        </w:rPr>
        <w:t xml:space="preserve"> are </w:t>
      </w:r>
      <w:r w:rsidR="006A5FA1">
        <w:rPr>
          <w:rFonts w:asciiTheme="majorBidi" w:hAnsiTheme="majorBidi" w:cstheme="majorBidi"/>
          <w:color w:val="000000" w:themeColor="text1"/>
          <w:lang w:val="en-US"/>
        </w:rPr>
        <w:t>also expressly listed as criteria for requesting the transfer of criminal proceedings in Art. 5(2)</w:t>
      </w:r>
      <w:r w:rsidR="00801E2B">
        <w:rPr>
          <w:rFonts w:asciiTheme="majorBidi" w:hAnsiTheme="majorBidi" w:cstheme="majorBidi"/>
          <w:color w:val="000000" w:themeColor="text1"/>
          <w:lang w:val="en-US"/>
        </w:rPr>
        <w:t xml:space="preserve"> </w:t>
      </w:r>
      <w:r w:rsidR="003617E4">
        <w:rPr>
          <w:rFonts w:asciiTheme="majorBidi" w:hAnsiTheme="majorBidi" w:cstheme="majorBidi"/>
          <w:color w:val="000000" w:themeColor="text1"/>
          <w:lang w:val="en-US"/>
        </w:rPr>
        <w:t xml:space="preserve">lit. </w:t>
      </w:r>
      <w:r w:rsidR="006A5FA1">
        <w:rPr>
          <w:rFonts w:asciiTheme="majorBidi" w:hAnsiTheme="majorBidi" w:cstheme="majorBidi"/>
          <w:color w:val="000000" w:themeColor="text1"/>
          <w:lang w:val="en-US"/>
        </w:rPr>
        <w:t xml:space="preserve">c to e of </w:t>
      </w:r>
      <w:r w:rsidR="00055777">
        <w:rPr>
          <w:lang w:val="en-US"/>
        </w:rPr>
        <w:t>Regulation (EU) 2024/3011 on the transfer of proceedings in criminal matters</w:t>
      </w:r>
      <w:r w:rsidR="006A5FA1">
        <w:rPr>
          <w:rFonts w:asciiTheme="majorBidi" w:hAnsiTheme="majorBidi" w:cstheme="majorBidi"/>
          <w:color w:val="000000" w:themeColor="text1"/>
          <w:lang w:val="en-US"/>
        </w:rPr>
        <w:t xml:space="preserve">. </w:t>
      </w:r>
      <w:r w:rsidR="00BA0133">
        <w:rPr>
          <w:rFonts w:asciiTheme="majorBidi" w:hAnsiTheme="majorBidi" w:cstheme="majorBidi"/>
          <w:color w:val="000000" w:themeColor="text1"/>
          <w:lang w:val="en-US"/>
        </w:rPr>
        <w:t>Regarding the location of the evidence (Art. 5(2)</w:t>
      </w:r>
      <w:r w:rsidR="00AC3583">
        <w:rPr>
          <w:rFonts w:asciiTheme="majorBidi" w:hAnsiTheme="majorBidi" w:cstheme="majorBidi"/>
          <w:color w:val="000000" w:themeColor="text1"/>
          <w:lang w:val="en-US"/>
        </w:rPr>
        <w:t xml:space="preserve"> lit. </w:t>
      </w:r>
      <w:r w:rsidR="00BA0133">
        <w:rPr>
          <w:rFonts w:asciiTheme="majorBidi" w:hAnsiTheme="majorBidi" w:cstheme="majorBidi"/>
          <w:color w:val="000000" w:themeColor="text1"/>
          <w:lang w:val="en-US"/>
        </w:rPr>
        <w:t xml:space="preserve">e) though, </w:t>
      </w:r>
      <w:r w:rsidR="00BA0133">
        <w:t xml:space="preserve">the requesting authority is encouraged to take into account the possibility of obtaining evidence from other Member States through the EIO first (recital </w:t>
      </w:r>
      <w:r w:rsidR="00776EC6">
        <w:t>(</w:t>
      </w:r>
      <w:r w:rsidR="00BA0133">
        <w:t>29</w:t>
      </w:r>
      <w:r w:rsidR="00776EC6">
        <w:t>)</w:t>
      </w:r>
      <w:r w:rsidR="00BA0133">
        <w:t xml:space="preserve">). </w:t>
      </w:r>
    </w:p>
    <w:p w14:paraId="4EA15B89" w14:textId="17D1B29C" w:rsidR="0095741C" w:rsidRDefault="00BD1377" w:rsidP="003318EF">
      <w:pPr>
        <w:spacing w:line="360" w:lineRule="auto"/>
        <w:jc w:val="both"/>
        <w:rPr>
          <w:lang w:val="en-US"/>
        </w:rPr>
      </w:pPr>
      <w:r>
        <w:rPr>
          <w:lang w:val="en-US"/>
        </w:rPr>
        <w:t xml:space="preserve">A transfer of proceedings </w:t>
      </w:r>
      <w:r w:rsidR="00985FA2">
        <w:rPr>
          <w:lang w:val="en-US"/>
        </w:rPr>
        <w:t xml:space="preserve">usually requires </w:t>
      </w:r>
      <w:r w:rsidR="00EE716E">
        <w:rPr>
          <w:lang w:val="en-US"/>
        </w:rPr>
        <w:t>that the investigating public prosecutor has concluded the investigation (as far as possible) and can trust in the willingness and capacity of the requested state to take over criminal proceedings.</w:t>
      </w:r>
      <w:r w:rsidR="00EE716E">
        <w:rPr>
          <w:rStyle w:val="Funotenzeichen"/>
          <w:lang w:val="en-US"/>
        </w:rPr>
        <w:footnoteReference w:id="187"/>
      </w:r>
      <w:r w:rsidR="00EE716E">
        <w:rPr>
          <w:lang w:val="en-US"/>
        </w:rPr>
        <w:t xml:space="preserve"> </w:t>
      </w:r>
      <w:r w:rsidR="00BA6EEF">
        <w:rPr>
          <w:lang w:val="en-US"/>
        </w:rPr>
        <w:t>In practice, other Member States are more likely to take over prosecution in an early phase of the investigation; in a later stage, transfer of proceedings has not turned out to overcome obstacles to surrender and to avoid impunity.</w:t>
      </w:r>
      <w:r w:rsidR="00BA6EEF">
        <w:rPr>
          <w:rStyle w:val="Funotenzeichen"/>
          <w:lang w:val="en-US"/>
        </w:rPr>
        <w:footnoteReference w:id="188"/>
      </w:r>
      <w:r w:rsidR="00BA6EEF">
        <w:rPr>
          <w:lang w:val="en-US"/>
        </w:rPr>
        <w:t xml:space="preserve"> </w:t>
      </w:r>
      <w:r w:rsidR="00667F99">
        <w:rPr>
          <w:lang w:val="en-US"/>
        </w:rPr>
        <w:t>T</w:t>
      </w:r>
      <w:r w:rsidR="00EE716E">
        <w:rPr>
          <w:lang w:val="en-US"/>
        </w:rPr>
        <w:t xml:space="preserve">he prosecution of petty offences </w:t>
      </w:r>
      <w:r w:rsidR="00667F99">
        <w:rPr>
          <w:lang w:val="en-US"/>
        </w:rPr>
        <w:t>will rarely</w:t>
      </w:r>
      <w:r w:rsidR="00EE716E">
        <w:rPr>
          <w:lang w:val="en-US"/>
        </w:rPr>
        <w:t xml:space="preserve"> meet the latter requirement</w:t>
      </w:r>
      <w:r w:rsidR="00667F99">
        <w:rPr>
          <w:lang w:val="en-US"/>
        </w:rPr>
        <w:t xml:space="preserve">; in such </w:t>
      </w:r>
      <w:r w:rsidR="00667F99">
        <w:rPr>
          <w:lang w:val="en-US"/>
        </w:rPr>
        <w:lastRenderedPageBreak/>
        <w:t>cases, public prosecutors often decide not to prosecute (sections 153 ff. CCP).</w:t>
      </w:r>
      <w:r w:rsidR="00EE716E">
        <w:rPr>
          <w:rStyle w:val="Funotenzeichen"/>
          <w:lang w:val="en-US"/>
        </w:rPr>
        <w:footnoteReference w:id="189"/>
      </w:r>
      <w:r w:rsidR="00EE716E">
        <w:rPr>
          <w:lang w:val="en-US"/>
        </w:rPr>
        <w:t xml:space="preserve"> </w:t>
      </w:r>
      <w:r w:rsidR="00810B30">
        <w:rPr>
          <w:lang w:val="en-US"/>
        </w:rPr>
        <w:t>In contrast, if the accused person is present, there is no need for a transfer of proceedings.</w:t>
      </w:r>
      <w:r>
        <w:rPr>
          <w:rStyle w:val="Funotenzeichen"/>
          <w:lang w:val="en-US"/>
        </w:rPr>
        <w:footnoteReference w:id="190"/>
      </w:r>
      <w:r w:rsidR="00810B30">
        <w:rPr>
          <w:lang w:val="en-US"/>
        </w:rPr>
        <w:t xml:space="preserve"> </w:t>
      </w:r>
      <w:r w:rsidR="00667F99">
        <w:rPr>
          <w:lang w:val="en-US"/>
        </w:rPr>
        <w:t>On the other hand, the proceedings can be transferred to the Member State where the accused person and the victim have their permanent residence because this may enable the suspect to keep contact with his family and facilitate his reintegration into society.</w:t>
      </w:r>
      <w:r w:rsidR="00667F99">
        <w:rPr>
          <w:rStyle w:val="Funotenzeichen"/>
          <w:lang w:val="en-US"/>
        </w:rPr>
        <w:footnoteReference w:id="191"/>
      </w:r>
      <w:r w:rsidR="002235D0">
        <w:rPr>
          <w:lang w:val="en-US"/>
        </w:rPr>
        <w:t xml:space="preserve"> Furthermore, the place of the criminal activities are a relevant factor.</w:t>
      </w:r>
      <w:r w:rsidR="002235D0">
        <w:rPr>
          <w:rStyle w:val="Funotenzeichen"/>
          <w:lang w:val="en-US"/>
        </w:rPr>
        <w:footnoteReference w:id="192"/>
      </w:r>
      <w:r w:rsidR="00BA6EEF">
        <w:rPr>
          <w:lang w:val="en-US"/>
        </w:rPr>
        <w:t xml:space="preserve"> </w:t>
      </w:r>
      <w:r w:rsidR="00640657">
        <w:rPr>
          <w:lang w:val="en-US"/>
        </w:rPr>
        <w:t xml:space="preserve">These factors are also listed as </w:t>
      </w:r>
      <w:r w:rsidR="003F5262">
        <w:rPr>
          <w:lang w:val="en-US"/>
        </w:rPr>
        <w:t xml:space="preserve">some of the </w:t>
      </w:r>
      <w:r w:rsidR="00640657">
        <w:rPr>
          <w:lang w:val="en-US"/>
        </w:rPr>
        <w:t xml:space="preserve">criteria for requesting </w:t>
      </w:r>
      <w:r w:rsidR="0057591C">
        <w:rPr>
          <w:lang w:val="en-US"/>
        </w:rPr>
        <w:t xml:space="preserve">a </w:t>
      </w:r>
      <w:r w:rsidR="00640657">
        <w:rPr>
          <w:lang w:val="en-US"/>
        </w:rPr>
        <w:t xml:space="preserve">transfer of criminal proceedings, </w:t>
      </w:r>
      <w:r w:rsidR="00C934B0">
        <w:rPr>
          <w:lang w:val="en-US"/>
        </w:rPr>
        <w:t xml:space="preserve">according to </w:t>
      </w:r>
      <w:r w:rsidR="00640657">
        <w:rPr>
          <w:lang w:val="en-US"/>
        </w:rPr>
        <w:t>Art. 5(2)</w:t>
      </w:r>
      <w:r w:rsidR="006A640D">
        <w:rPr>
          <w:lang w:val="en-US"/>
        </w:rPr>
        <w:t xml:space="preserve"> lit. </w:t>
      </w:r>
      <w:r w:rsidR="00640657">
        <w:rPr>
          <w:lang w:val="en-US"/>
        </w:rPr>
        <w:t xml:space="preserve">b, j, i and a of </w:t>
      </w:r>
      <w:r w:rsidR="00452063">
        <w:rPr>
          <w:lang w:val="en-US"/>
        </w:rPr>
        <w:t>Regulation (EU) 2024/3011 on the transfer of proceedings in criminal matters</w:t>
      </w:r>
      <w:r w:rsidR="00640657">
        <w:rPr>
          <w:lang w:val="en-US"/>
        </w:rPr>
        <w:t>.</w:t>
      </w:r>
    </w:p>
    <w:p w14:paraId="7AFAE003" w14:textId="16D2A001" w:rsidR="00B54B8E" w:rsidRPr="00353C2A" w:rsidRDefault="0095741C" w:rsidP="007C4F5E">
      <w:pPr>
        <w:spacing w:line="360" w:lineRule="auto"/>
        <w:jc w:val="both"/>
        <w:rPr>
          <w:lang w:val="en-GB"/>
        </w:rPr>
      </w:pPr>
      <w:r>
        <w:rPr>
          <w:color w:val="FF0000"/>
          <w:lang w:val="en-US"/>
        </w:rPr>
        <w:tab/>
      </w:r>
      <w:r>
        <w:rPr>
          <w:color w:val="FF0000"/>
          <w:lang w:val="en-US"/>
        </w:rPr>
        <w:tab/>
      </w:r>
      <w:r>
        <w:rPr>
          <w:color w:val="FF0000"/>
          <w:lang w:val="en-US"/>
        </w:rPr>
        <w:tab/>
      </w:r>
      <w:r w:rsidR="00FE01BD">
        <w:rPr>
          <w:lang w:val="en-GB"/>
        </w:rPr>
        <w:t>(dd) Other (?)</w:t>
      </w:r>
    </w:p>
    <w:p w14:paraId="0570D731" w14:textId="77777777" w:rsidR="00B54B8E" w:rsidRDefault="00B54B8E" w:rsidP="00777A20">
      <w:pPr>
        <w:jc w:val="both"/>
        <w:rPr>
          <w:lang w:val="en-GB"/>
        </w:rPr>
      </w:pPr>
    </w:p>
    <w:p w14:paraId="54FC2F44" w14:textId="77777777" w:rsidR="00B54B8E" w:rsidRDefault="00B54B8E" w:rsidP="00777A20">
      <w:pPr>
        <w:pStyle w:val="berschrift3"/>
        <w:numPr>
          <w:ilvl w:val="2"/>
          <w:numId w:val="15"/>
        </w:numPr>
        <w:ind w:left="1560" w:hanging="709"/>
        <w:rPr>
          <w:lang w:val="en-GB"/>
        </w:rPr>
      </w:pPr>
      <w:bookmarkStart w:id="147" w:name="_Toc147328926"/>
      <w:bookmarkStart w:id="148" w:name="_Toc147328976"/>
      <w:bookmarkStart w:id="149" w:name="_Toc147329088"/>
      <w:bookmarkStart w:id="150" w:name="_Toc170228518"/>
      <w:r>
        <w:rPr>
          <w:lang w:val="en-GB"/>
        </w:rPr>
        <w:t>Substage 2 (detention on remand possible)</w:t>
      </w:r>
      <w:bookmarkEnd w:id="147"/>
      <w:bookmarkEnd w:id="148"/>
      <w:bookmarkEnd w:id="149"/>
      <w:bookmarkEnd w:id="150"/>
    </w:p>
    <w:p w14:paraId="69AE33F2" w14:textId="77777777" w:rsidR="00B54B8E" w:rsidRPr="00CF2A65" w:rsidRDefault="00B54B8E" w:rsidP="00777A20">
      <w:pPr>
        <w:pStyle w:val="berschrift5"/>
        <w:numPr>
          <w:ilvl w:val="0"/>
          <w:numId w:val="45"/>
        </w:numPr>
        <w:ind w:left="1843" w:hanging="425"/>
        <w:rPr>
          <w:lang w:val="en-GB"/>
        </w:rPr>
      </w:pPr>
      <w:bookmarkStart w:id="151" w:name="_Toc147328977"/>
      <w:bookmarkStart w:id="152" w:name="_Toc147329089"/>
      <w:bookmarkStart w:id="153" w:name="_Toc170228519"/>
      <w:r w:rsidRPr="00CF2A65">
        <w:rPr>
          <w:lang w:val="en-GB"/>
        </w:rPr>
        <w:t>Person concerned present in issuing MS</w:t>
      </w:r>
      <w:bookmarkEnd w:id="151"/>
      <w:bookmarkEnd w:id="152"/>
      <w:bookmarkEnd w:id="153"/>
    </w:p>
    <w:p w14:paraId="5B0BA880" w14:textId="565C90F4" w:rsidR="00B54B8E" w:rsidRPr="00CF2A65" w:rsidRDefault="00B54B8E" w:rsidP="00777A20">
      <w:pPr>
        <w:pStyle w:val="berschrift6"/>
        <w:numPr>
          <w:ilvl w:val="0"/>
          <w:numId w:val="46"/>
        </w:numPr>
        <w:ind w:left="1701" w:firstLine="0"/>
        <w:rPr>
          <w:lang w:val="en-GB"/>
        </w:rPr>
      </w:pPr>
      <w:bookmarkStart w:id="154" w:name="_Hlk140225907"/>
      <w:bookmarkStart w:id="155" w:name="_Toc147328978"/>
      <w:bookmarkStart w:id="156" w:name="_Toc147329090"/>
      <w:bookmarkStart w:id="157" w:name="_Toc170228520"/>
      <w:r w:rsidRPr="00CF2A65">
        <w:rPr>
          <w:lang w:val="en-GB"/>
        </w:rPr>
        <w:t>detention on remand possible but not ordered</w:t>
      </w:r>
      <w:bookmarkEnd w:id="154"/>
      <w:bookmarkEnd w:id="155"/>
      <w:bookmarkEnd w:id="156"/>
      <w:r w:rsidR="00711384">
        <w:rPr>
          <w:rStyle w:val="Funotenzeichen"/>
          <w:lang w:val="en-GB"/>
        </w:rPr>
        <w:footnoteReference w:id="193"/>
      </w:r>
      <w:bookmarkEnd w:id="157"/>
    </w:p>
    <w:p w14:paraId="694C0B51" w14:textId="77777777" w:rsidR="00B54B8E" w:rsidRPr="00353C2A" w:rsidRDefault="00B54B8E" w:rsidP="00777A20">
      <w:pPr>
        <w:spacing w:line="360" w:lineRule="auto"/>
        <w:ind w:left="1843" w:firstLine="6"/>
        <w:jc w:val="both"/>
        <w:rPr>
          <w:lang w:val="en-GB"/>
        </w:rPr>
      </w:pPr>
      <w:r w:rsidRPr="00353C2A">
        <w:rPr>
          <w:lang w:val="en-GB"/>
        </w:rPr>
        <w:t>(bb) Ensuring that the suspect is available</w:t>
      </w:r>
    </w:p>
    <w:p w14:paraId="255B13F2" w14:textId="09678380" w:rsidR="00B54B8E" w:rsidRPr="000C50DF" w:rsidRDefault="00B54B8E" w:rsidP="00777A20">
      <w:pPr>
        <w:pStyle w:val="Listenabsatz"/>
        <w:numPr>
          <w:ilvl w:val="0"/>
          <w:numId w:val="32"/>
        </w:numPr>
        <w:spacing w:line="360" w:lineRule="auto"/>
        <w:ind w:left="2410" w:hanging="142"/>
        <w:jc w:val="both"/>
        <w:rPr>
          <w:lang w:val="en-GB"/>
        </w:rPr>
      </w:pPr>
      <w:r w:rsidRPr="000C50DF">
        <w:rPr>
          <w:lang w:val="en-GB"/>
        </w:rPr>
        <w:t>FD 200</w:t>
      </w:r>
      <w:r w:rsidR="00A0039E">
        <w:rPr>
          <w:lang w:val="en-GB"/>
        </w:rPr>
        <w:t>9</w:t>
      </w:r>
      <w:r w:rsidRPr="000C50DF">
        <w:rPr>
          <w:lang w:val="en-GB"/>
        </w:rPr>
        <w:t xml:space="preserve">/829/JHA </w:t>
      </w:r>
      <w:r w:rsidRPr="000C50DF">
        <w:rPr>
          <w:color w:val="FF0000"/>
          <w:lang w:val="en-GB"/>
        </w:rPr>
        <w:t>(?)</w:t>
      </w:r>
    </w:p>
    <w:p w14:paraId="3218E582" w14:textId="77777777" w:rsidR="00B54B8E" w:rsidRDefault="00B54B8E" w:rsidP="00777A20">
      <w:pPr>
        <w:spacing w:line="360" w:lineRule="auto"/>
        <w:ind w:left="2268"/>
        <w:jc w:val="both"/>
        <w:rPr>
          <w:color w:val="FF0000"/>
          <w:lang w:val="en-GB"/>
        </w:rPr>
      </w:pPr>
      <w:r w:rsidRPr="00353C2A">
        <w:rPr>
          <w:color w:val="FF0000"/>
          <w:lang w:val="en-GB"/>
        </w:rPr>
        <w:t xml:space="preserve">ESO possible </w:t>
      </w:r>
      <w:r w:rsidRPr="00353C2A">
        <w:rPr>
          <w:color w:val="FF0000"/>
          <w:u w:val="single"/>
          <w:lang w:val="en-GB"/>
        </w:rPr>
        <w:t>under national law</w:t>
      </w:r>
      <w:r w:rsidRPr="00353C2A">
        <w:rPr>
          <w:color w:val="FF0000"/>
          <w:lang w:val="en-GB"/>
        </w:rPr>
        <w:t>?</w:t>
      </w:r>
    </w:p>
    <w:p w14:paraId="09B03BD8" w14:textId="77777777" w:rsidR="00810B30" w:rsidRPr="00BC5ED2" w:rsidRDefault="00810B30" w:rsidP="00810B30">
      <w:pPr>
        <w:spacing w:line="360" w:lineRule="auto"/>
        <w:jc w:val="both"/>
        <w:rPr>
          <w:color w:val="FF0000"/>
          <w:highlight w:val="yellow"/>
          <w:lang w:val="en-US"/>
        </w:rPr>
      </w:pPr>
    </w:p>
    <w:p w14:paraId="258236DA" w14:textId="3D49957E" w:rsidR="00D37410" w:rsidRPr="00B51BA8" w:rsidRDefault="005E585B" w:rsidP="00810B30">
      <w:pPr>
        <w:spacing w:line="360" w:lineRule="auto"/>
        <w:jc w:val="both"/>
        <w:rPr>
          <w:color w:val="FF0000"/>
          <w:highlight w:val="yellow"/>
          <w:lang w:val="en-US"/>
        </w:rPr>
      </w:pPr>
      <w:r w:rsidRPr="005E585B">
        <w:rPr>
          <w:lang w:val="en-US"/>
        </w:rPr>
        <w:t>I</w:t>
      </w:r>
      <w:r w:rsidRPr="00344085">
        <w:rPr>
          <w:lang w:val="en-GB"/>
        </w:rPr>
        <w:t>f detention on remand is not possible (i.e. without an arrest warrant), a</w:t>
      </w:r>
      <w:r w:rsidR="001C67F0">
        <w:rPr>
          <w:lang w:val="en-GB"/>
        </w:rPr>
        <w:t>n</w:t>
      </w:r>
      <w:r w:rsidRPr="00344085">
        <w:rPr>
          <w:lang w:val="en-GB"/>
        </w:rPr>
        <w:t xml:space="preserve"> ESO must not be issued, either (</w:t>
      </w:r>
      <w:r w:rsidRPr="00344085">
        <w:rPr>
          <w:i/>
          <w:lang w:val="en-GB"/>
        </w:rPr>
        <w:t xml:space="preserve">supra </w:t>
      </w:r>
      <w:r>
        <w:rPr>
          <w:lang w:val="en-GB"/>
        </w:rPr>
        <w:t xml:space="preserve">2.2.1. </w:t>
      </w:r>
      <w:r w:rsidRPr="000809E4">
        <w:rPr>
          <w:lang w:val="en-US"/>
        </w:rPr>
        <w:t>(a)).</w:t>
      </w:r>
      <w:r w:rsidR="000809E4" w:rsidRPr="000809E4">
        <w:rPr>
          <w:lang w:val="en-US"/>
        </w:rPr>
        <w:t xml:space="preserve"> The court, however, may issue an arrest warrant </w:t>
      </w:r>
      <w:r w:rsidR="00B51BA8">
        <w:rPr>
          <w:lang w:val="en-US"/>
        </w:rPr>
        <w:t xml:space="preserve">(section 112 CCP) </w:t>
      </w:r>
      <w:r w:rsidR="000809E4" w:rsidRPr="000809E4">
        <w:rPr>
          <w:lang w:val="en-US"/>
        </w:rPr>
        <w:t xml:space="preserve">and, at the </w:t>
      </w:r>
      <w:r w:rsidR="000809E4">
        <w:rPr>
          <w:lang w:val="en-US"/>
        </w:rPr>
        <w:t xml:space="preserve">same time, </w:t>
      </w:r>
      <w:r w:rsidR="00B51BA8">
        <w:rPr>
          <w:lang w:val="en-US"/>
        </w:rPr>
        <w:t>suspend its enforcement (section 116 CCP). In this case, the court may issue a</w:t>
      </w:r>
      <w:r w:rsidR="001C67F0">
        <w:rPr>
          <w:lang w:val="en-US"/>
        </w:rPr>
        <w:t>n</w:t>
      </w:r>
      <w:r w:rsidR="00B51BA8">
        <w:rPr>
          <w:lang w:val="en-US"/>
        </w:rPr>
        <w:t xml:space="preserve"> ESO and transfer supervision to another MS (see </w:t>
      </w:r>
      <w:r w:rsidR="00B51BA8">
        <w:rPr>
          <w:i/>
          <w:lang w:val="en-US"/>
        </w:rPr>
        <w:t xml:space="preserve">infra </w:t>
      </w:r>
      <w:r w:rsidR="00B51BA8">
        <w:rPr>
          <w:lang w:val="en-US"/>
        </w:rPr>
        <w:t xml:space="preserve">sub (ii)). </w:t>
      </w:r>
    </w:p>
    <w:p w14:paraId="67906F38" w14:textId="0DFFBC97" w:rsidR="002768A4" w:rsidRPr="00B51BA8" w:rsidRDefault="002768A4" w:rsidP="00777A20">
      <w:pPr>
        <w:spacing w:line="360" w:lineRule="auto"/>
        <w:ind w:left="2268"/>
        <w:jc w:val="both"/>
        <w:rPr>
          <w:color w:val="FF0000"/>
          <w:lang w:val="en-US"/>
        </w:rPr>
      </w:pPr>
    </w:p>
    <w:p w14:paraId="002987B8" w14:textId="77777777" w:rsidR="00B54B8E" w:rsidRPr="00810B30" w:rsidRDefault="00B54B8E" w:rsidP="00777A20">
      <w:pPr>
        <w:spacing w:line="360" w:lineRule="auto"/>
        <w:ind w:left="1843" w:firstLine="6"/>
        <w:jc w:val="both"/>
        <w:rPr>
          <w:lang w:val="de-DE"/>
        </w:rPr>
      </w:pPr>
      <w:r w:rsidRPr="00810B30">
        <w:rPr>
          <w:lang w:val="de-DE"/>
        </w:rPr>
        <w:t>(dd) Other (?)</w:t>
      </w:r>
    </w:p>
    <w:p w14:paraId="54484900" w14:textId="77777777" w:rsidR="00B54B8E" w:rsidRPr="000C50DF" w:rsidRDefault="00B54B8E" w:rsidP="00777A20">
      <w:pPr>
        <w:pStyle w:val="berschrift6"/>
        <w:ind w:left="1701" w:firstLine="0"/>
        <w:rPr>
          <w:lang w:val="en-GB"/>
        </w:rPr>
      </w:pPr>
      <w:bookmarkStart w:id="158" w:name="_Toc147328979"/>
      <w:bookmarkStart w:id="159" w:name="_Toc147329091"/>
      <w:bookmarkStart w:id="160" w:name="_Toc170228521"/>
      <w:r w:rsidRPr="000C50DF">
        <w:rPr>
          <w:lang w:val="en-GB"/>
        </w:rPr>
        <w:t>person concerned in detention on remand</w:t>
      </w:r>
      <w:bookmarkEnd w:id="158"/>
      <w:bookmarkEnd w:id="159"/>
      <w:bookmarkEnd w:id="160"/>
    </w:p>
    <w:p w14:paraId="742576D1" w14:textId="4AF8DE09" w:rsidR="00B54B8E" w:rsidRDefault="00D80C49" w:rsidP="00B51BA8">
      <w:pPr>
        <w:spacing w:line="360" w:lineRule="auto"/>
        <w:jc w:val="both"/>
        <w:rPr>
          <w:lang w:val="en-GB"/>
        </w:rPr>
      </w:pPr>
      <w:r>
        <w:rPr>
          <w:lang w:val="en-GB"/>
        </w:rPr>
        <w:t>If the accused person is detained in the issuing MS, the competent court may suspend the enforcement of the arrest warrant and issue a</w:t>
      </w:r>
      <w:r w:rsidR="001C67F0">
        <w:rPr>
          <w:lang w:val="en-GB"/>
        </w:rPr>
        <w:t>n</w:t>
      </w:r>
      <w:r>
        <w:rPr>
          <w:lang w:val="en-GB"/>
        </w:rPr>
        <w:t xml:space="preserve"> ESO (section 90y(1) AICCM). The transfer requires the consent of the detained person </w:t>
      </w:r>
      <w:r w:rsidR="00CD1AAD">
        <w:rPr>
          <w:lang w:val="en-GB"/>
        </w:rPr>
        <w:t>(section 90y(1)2 No. 2 AICCM; see also Art. 9(1) FD 2009/829/JHA).</w:t>
      </w:r>
    </w:p>
    <w:p w14:paraId="40C81D0E" w14:textId="0D725FF7" w:rsidR="00C40483" w:rsidRDefault="00C40483" w:rsidP="009523EA">
      <w:pPr>
        <w:spacing w:line="360" w:lineRule="auto"/>
        <w:jc w:val="both"/>
        <w:rPr>
          <w:lang w:val="en-US"/>
        </w:rPr>
      </w:pPr>
      <w:r w:rsidRPr="0042572A">
        <w:rPr>
          <w:lang w:val="en-US"/>
        </w:rPr>
        <w:lastRenderedPageBreak/>
        <w:t>The decision to issue a</w:t>
      </w:r>
      <w:r w:rsidR="001C67F0">
        <w:rPr>
          <w:lang w:val="en-US"/>
        </w:rPr>
        <w:t>n</w:t>
      </w:r>
      <w:r w:rsidRPr="0042572A">
        <w:rPr>
          <w:lang w:val="en-US"/>
        </w:rPr>
        <w:t xml:space="preserve"> ESO lies within the discretion of the competent court (section 90y(1) AICCM: ‘may’)</w:t>
      </w:r>
      <w:r w:rsidR="000C2781">
        <w:rPr>
          <w:lang w:val="en-US"/>
        </w:rPr>
        <w:t xml:space="preserve">; the </w:t>
      </w:r>
      <w:r w:rsidR="000C2781" w:rsidRPr="000C2781">
        <w:rPr>
          <w:lang w:val="en-US"/>
        </w:rPr>
        <w:t xml:space="preserve">public prosecution office </w:t>
      </w:r>
      <w:r w:rsidR="000C2781">
        <w:rPr>
          <w:lang w:val="en-US"/>
        </w:rPr>
        <w:t xml:space="preserve">must be given </w:t>
      </w:r>
      <w:r w:rsidR="000C2781" w:rsidRPr="000C2781">
        <w:rPr>
          <w:lang w:val="en-US"/>
        </w:rPr>
        <w:t xml:space="preserve">the </w:t>
      </w:r>
      <w:r w:rsidR="000C2781">
        <w:rPr>
          <w:lang w:val="en-US"/>
        </w:rPr>
        <w:t>opportunity to make a statement (section 90y(1)3 AICCM)</w:t>
      </w:r>
      <w:r w:rsidRPr="0042572A">
        <w:rPr>
          <w:lang w:val="en-US"/>
        </w:rPr>
        <w:t xml:space="preserve">. </w:t>
      </w:r>
      <w:r w:rsidRPr="00C40483">
        <w:rPr>
          <w:lang w:val="en-US"/>
        </w:rPr>
        <w:t xml:space="preserve">Although the defendant has no right to </w:t>
      </w:r>
      <w:r>
        <w:rPr>
          <w:lang w:val="en-US"/>
        </w:rPr>
        <w:t xml:space="preserve">a </w:t>
      </w:r>
      <w:r w:rsidRPr="00C40483">
        <w:rPr>
          <w:lang w:val="en-US"/>
        </w:rPr>
        <w:t>non-custodial meas</w:t>
      </w:r>
      <w:r>
        <w:rPr>
          <w:lang w:val="en-US"/>
        </w:rPr>
        <w:t>ure as an alternative to detention on remand (Art. 2(2) FD 2009/829/JHA), the court must comply with the principle of proportionality and issue a</w:t>
      </w:r>
      <w:r w:rsidR="001C67F0">
        <w:rPr>
          <w:lang w:val="en-US"/>
        </w:rPr>
        <w:t>n</w:t>
      </w:r>
      <w:r>
        <w:rPr>
          <w:lang w:val="en-US"/>
        </w:rPr>
        <w:t xml:space="preserve"> ESO as a less intrusive means </w:t>
      </w:r>
      <w:r w:rsidR="005F464B">
        <w:rPr>
          <w:lang w:val="en-US"/>
        </w:rPr>
        <w:t xml:space="preserve">if </w:t>
      </w:r>
      <w:r>
        <w:rPr>
          <w:lang w:val="en-US"/>
        </w:rPr>
        <w:t xml:space="preserve">the objective of detention on remand </w:t>
      </w:r>
      <w:r w:rsidR="005F464B">
        <w:rPr>
          <w:lang w:val="en-US"/>
        </w:rPr>
        <w:t xml:space="preserve">is achieved </w:t>
      </w:r>
      <w:r>
        <w:rPr>
          <w:lang w:val="en-US"/>
        </w:rPr>
        <w:t>in an equivalent effective manner.</w:t>
      </w:r>
      <w:r>
        <w:rPr>
          <w:rStyle w:val="Funotenzeichen"/>
          <w:lang w:val="en-US"/>
        </w:rPr>
        <w:footnoteReference w:id="194"/>
      </w:r>
      <w:r w:rsidR="005F464B">
        <w:rPr>
          <w:lang w:val="en-US"/>
        </w:rPr>
        <w:t xml:space="preserve"> Issuing a</w:t>
      </w:r>
      <w:r w:rsidR="001C67F0">
        <w:rPr>
          <w:lang w:val="en-US"/>
        </w:rPr>
        <w:t>n</w:t>
      </w:r>
      <w:r w:rsidR="005F464B">
        <w:rPr>
          <w:lang w:val="en-US"/>
        </w:rPr>
        <w:t xml:space="preserve"> ESO, however, might not be as effective as detention in the issuing MS where the defendant does not comply with the supervision measures and absconds from justice</w:t>
      </w:r>
      <w:r w:rsidR="00BF4725">
        <w:rPr>
          <w:rStyle w:val="Funotenzeichen"/>
          <w:lang w:val="en-US"/>
        </w:rPr>
        <w:footnoteReference w:id="195"/>
      </w:r>
      <w:r w:rsidR="005F464B">
        <w:rPr>
          <w:lang w:val="en-US"/>
        </w:rPr>
        <w:t xml:space="preserve">; in this case, the mechanism under FD 2009/829/JHA </w:t>
      </w:r>
      <w:r w:rsidR="009523EA">
        <w:rPr>
          <w:lang w:val="en-US"/>
        </w:rPr>
        <w:t xml:space="preserve">is considered </w:t>
      </w:r>
      <w:r w:rsidR="00FD5F97">
        <w:rPr>
          <w:lang w:val="en-US"/>
        </w:rPr>
        <w:t xml:space="preserve">too </w:t>
      </w:r>
      <w:r w:rsidR="009523EA">
        <w:rPr>
          <w:lang w:val="en-US"/>
        </w:rPr>
        <w:t xml:space="preserve">lengthy and </w:t>
      </w:r>
      <w:r w:rsidR="005F464B">
        <w:rPr>
          <w:lang w:val="en-US"/>
        </w:rPr>
        <w:t>complex</w:t>
      </w:r>
      <w:r w:rsidR="00FA5031">
        <w:rPr>
          <w:lang w:val="en-US"/>
        </w:rPr>
        <w:t xml:space="preserve"> a</w:t>
      </w:r>
      <w:r w:rsidR="005F464B">
        <w:rPr>
          <w:lang w:val="en-US"/>
        </w:rPr>
        <w:t xml:space="preserve"> </w:t>
      </w:r>
      <w:r w:rsidR="009523EA">
        <w:rPr>
          <w:lang w:val="en-US"/>
        </w:rPr>
        <w:t>procedure</w:t>
      </w:r>
      <w:r w:rsidR="00625F74">
        <w:rPr>
          <w:lang w:val="en-US"/>
        </w:rPr>
        <w:t xml:space="preserve">, in particular because the executing authority must </w:t>
      </w:r>
      <w:r w:rsidR="00CA37B6">
        <w:rPr>
          <w:lang w:val="en-US"/>
        </w:rPr>
        <w:t xml:space="preserve">not </w:t>
      </w:r>
      <w:r w:rsidR="00625F74">
        <w:rPr>
          <w:lang w:val="en-US"/>
        </w:rPr>
        <w:t>order the arrest of the defendant on its own motion, but has to notify the issuing authority that will take that decision</w:t>
      </w:r>
      <w:r w:rsidR="00C8198A">
        <w:rPr>
          <w:lang w:val="en-US"/>
        </w:rPr>
        <w:t>.</w:t>
      </w:r>
      <w:r w:rsidR="00C8198A">
        <w:rPr>
          <w:rStyle w:val="Funotenzeichen"/>
          <w:lang w:val="en-US"/>
        </w:rPr>
        <w:footnoteReference w:id="196"/>
      </w:r>
      <w:r w:rsidR="0042572A">
        <w:rPr>
          <w:lang w:val="en-US"/>
        </w:rPr>
        <w:t xml:space="preserve"> </w:t>
      </w:r>
      <w:r w:rsidR="002235D0">
        <w:rPr>
          <w:lang w:val="en-US"/>
        </w:rPr>
        <w:t>These concerns apply in particular to t</w:t>
      </w:r>
      <w:r w:rsidR="0098617C">
        <w:rPr>
          <w:lang w:val="en-US"/>
        </w:rPr>
        <w:t>raveling</w:t>
      </w:r>
      <w:r w:rsidR="002235D0">
        <w:rPr>
          <w:lang w:val="en-US"/>
        </w:rPr>
        <w:t xml:space="preserve"> criminal defendants without a permanent residence</w:t>
      </w:r>
      <w:r w:rsidR="00BF4725">
        <w:rPr>
          <w:lang w:val="en-US"/>
        </w:rPr>
        <w:t>.</w:t>
      </w:r>
      <w:r w:rsidR="002235D0">
        <w:rPr>
          <w:rStyle w:val="Funotenzeichen"/>
          <w:lang w:val="en-US"/>
        </w:rPr>
        <w:footnoteReference w:id="197"/>
      </w:r>
      <w:r w:rsidR="002235D0">
        <w:rPr>
          <w:lang w:val="en-US"/>
        </w:rPr>
        <w:t xml:space="preserve"> </w:t>
      </w:r>
      <w:r w:rsidR="00DF47B9">
        <w:rPr>
          <w:lang w:val="en-US"/>
        </w:rPr>
        <w:t xml:space="preserve">According to </w:t>
      </w:r>
      <w:r w:rsidR="00031663">
        <w:rPr>
          <w:lang w:val="en-US"/>
        </w:rPr>
        <w:t xml:space="preserve">a </w:t>
      </w:r>
      <w:r w:rsidR="00DF47B9">
        <w:rPr>
          <w:lang w:val="en-US"/>
        </w:rPr>
        <w:t>defence counsel, some courts have</w:t>
      </w:r>
      <w:r w:rsidR="00031663">
        <w:rPr>
          <w:lang w:val="en-US"/>
        </w:rPr>
        <w:t xml:space="preserve"> established a practice of direct supervision according to which a foreign police station sends a fax confirming that the accused person has reported to its office.</w:t>
      </w:r>
      <w:r w:rsidR="00031663">
        <w:rPr>
          <w:rStyle w:val="Funotenzeichen"/>
          <w:lang w:val="en-US"/>
        </w:rPr>
        <w:footnoteReference w:id="198"/>
      </w:r>
      <w:r w:rsidR="00DF47B9">
        <w:rPr>
          <w:lang w:val="en-US"/>
        </w:rPr>
        <w:t xml:space="preserve"> </w:t>
      </w:r>
      <w:r w:rsidR="008D691D">
        <w:rPr>
          <w:lang w:val="en-US"/>
        </w:rPr>
        <w:t>Defence counsels criticize that detention in Germany is considered the easier and more effective way to ensure that the accused person does not escape from justice.</w:t>
      </w:r>
      <w:r w:rsidR="008D691D">
        <w:rPr>
          <w:rStyle w:val="Funotenzeichen"/>
          <w:lang w:val="en-US"/>
        </w:rPr>
        <w:footnoteReference w:id="199"/>
      </w:r>
      <w:r w:rsidR="008D691D">
        <w:rPr>
          <w:lang w:val="en-US"/>
        </w:rPr>
        <w:t xml:space="preserve"> </w:t>
      </w:r>
      <w:r w:rsidR="00293CD1">
        <w:rPr>
          <w:lang w:val="en-US"/>
        </w:rPr>
        <w:t xml:space="preserve">They argue that the fact that the accused person’s permanent residence is in another Member State does not </w:t>
      </w:r>
      <w:r w:rsidR="00293CD1">
        <w:rPr>
          <w:i/>
          <w:lang w:val="en-US"/>
        </w:rPr>
        <w:t xml:space="preserve">per se </w:t>
      </w:r>
      <w:r w:rsidR="00293CD1">
        <w:rPr>
          <w:lang w:val="en-US"/>
        </w:rPr>
        <w:t>establish a risk of flight as a ground for detention.</w:t>
      </w:r>
      <w:r w:rsidR="00293CD1">
        <w:rPr>
          <w:rStyle w:val="Funotenzeichen"/>
          <w:lang w:val="en-US"/>
        </w:rPr>
        <w:footnoteReference w:id="200"/>
      </w:r>
      <w:r w:rsidR="008D691D">
        <w:rPr>
          <w:lang w:val="en-US"/>
        </w:rPr>
        <w:t xml:space="preserve"> </w:t>
      </w:r>
      <w:r w:rsidR="00293CD1">
        <w:rPr>
          <w:lang w:val="en-US"/>
        </w:rPr>
        <w:t xml:space="preserve">In contrast, public prosecutors held that in some cases, a residence abroad could be tantamount to the risk of flight; in such cases, the accused person may be brought to judgment in accelerated proceedings (sections 417 ff. CCP) and the duration of remand detention will be </w:t>
      </w:r>
      <w:r w:rsidR="00293CD1" w:rsidRPr="00293CD1">
        <w:rPr>
          <w:lang w:val="en-US"/>
        </w:rPr>
        <w:t>credited against a determinate se</w:t>
      </w:r>
      <w:r w:rsidR="00293CD1">
        <w:rPr>
          <w:lang w:val="en-US"/>
        </w:rPr>
        <w:t>ntence of imprisonment (section 51(1) CC).</w:t>
      </w:r>
      <w:r w:rsidR="00293CD1">
        <w:rPr>
          <w:rStyle w:val="Funotenzeichen"/>
          <w:lang w:val="en-US"/>
        </w:rPr>
        <w:footnoteReference w:id="201"/>
      </w:r>
      <w:r w:rsidR="00293CD1">
        <w:rPr>
          <w:lang w:val="en-US"/>
        </w:rPr>
        <w:t xml:space="preserve"> </w:t>
      </w:r>
      <w:r w:rsidR="0042572A">
        <w:rPr>
          <w:lang w:val="en-US"/>
        </w:rPr>
        <w:t xml:space="preserve">Accordingly, the cooperation </w:t>
      </w:r>
      <w:r w:rsidR="0042572A">
        <w:rPr>
          <w:lang w:val="en-US"/>
        </w:rPr>
        <w:lastRenderedPageBreak/>
        <w:t>instrument is not used by or even unknown among practitioners.</w:t>
      </w:r>
      <w:r w:rsidR="0042572A">
        <w:rPr>
          <w:rStyle w:val="Funotenzeichen"/>
          <w:lang w:val="en-US"/>
        </w:rPr>
        <w:footnoteReference w:id="202"/>
      </w:r>
      <w:r w:rsidR="00BA6EEF">
        <w:rPr>
          <w:lang w:val="en-US"/>
        </w:rPr>
        <w:t xml:space="preserve"> According to the ministry of justice, only three ESOs have been issued in Germany.</w:t>
      </w:r>
      <w:r w:rsidR="00BA6EEF">
        <w:rPr>
          <w:rStyle w:val="Funotenzeichen"/>
          <w:lang w:val="en-US"/>
        </w:rPr>
        <w:footnoteReference w:id="203"/>
      </w:r>
      <w:r w:rsidR="00625F74">
        <w:rPr>
          <w:lang w:val="en-US"/>
        </w:rPr>
        <w:t xml:space="preserve"> Training programs and a circular on the ESO might help to overcome these shortcomings.</w:t>
      </w:r>
      <w:r w:rsidR="00625F74">
        <w:rPr>
          <w:rStyle w:val="Funotenzeichen"/>
          <w:lang w:val="en-US"/>
        </w:rPr>
        <w:footnoteReference w:id="204"/>
      </w:r>
    </w:p>
    <w:p w14:paraId="7DF17DC4" w14:textId="6C46C586" w:rsidR="009523EA" w:rsidRDefault="003810BE" w:rsidP="009523EA">
      <w:pPr>
        <w:spacing w:line="360" w:lineRule="auto"/>
        <w:jc w:val="both"/>
        <w:rPr>
          <w:lang w:val="en-US"/>
        </w:rPr>
      </w:pPr>
      <w:r>
        <w:rPr>
          <w:lang w:val="en-US"/>
        </w:rPr>
        <w:t>These findings correspond to the expectations of the legislator: According to the German government, the fact that the defendant is a resident of another MS is not sufficient to establish a risk of flight; without a ground for detention, the court cannot issue an arrest warrant nor a</w:t>
      </w:r>
      <w:r w:rsidR="001C67F0">
        <w:rPr>
          <w:lang w:val="en-US"/>
        </w:rPr>
        <w:t>n</w:t>
      </w:r>
      <w:r>
        <w:rPr>
          <w:lang w:val="en-US"/>
        </w:rPr>
        <w:t xml:space="preserve"> ESO. </w:t>
      </w:r>
      <w:r w:rsidR="00D73E40">
        <w:rPr>
          <w:lang w:val="en-US"/>
        </w:rPr>
        <w:t>For the prosecution of minor offences</w:t>
      </w:r>
      <w:r>
        <w:rPr>
          <w:lang w:val="en-US"/>
        </w:rPr>
        <w:t xml:space="preserve">, </w:t>
      </w:r>
      <w:r w:rsidR="00D73E40">
        <w:rPr>
          <w:lang w:val="en-US"/>
        </w:rPr>
        <w:t>German law provides for less intrusive alternatives</w:t>
      </w:r>
      <w:r w:rsidR="00D623F3">
        <w:rPr>
          <w:lang w:val="en-US"/>
        </w:rPr>
        <w:t>: Public prosecutors may file an application to the court to issue a penalty order that is then to be served to the accused person.</w:t>
      </w:r>
      <w:r w:rsidR="00D623F3" w:rsidRPr="0033147B">
        <w:rPr>
          <w:lang w:val="en-GB"/>
        </w:rPr>
        <w:t xml:space="preserve"> </w:t>
      </w:r>
      <w:r w:rsidR="00D623F3" w:rsidRPr="006456FD">
        <w:rPr>
          <w:lang w:val="en-US"/>
        </w:rPr>
        <w:t>A summary p</w:t>
      </w:r>
      <w:r w:rsidR="00D623F3">
        <w:rPr>
          <w:lang w:val="en-US"/>
        </w:rPr>
        <w:t>enalty order may impose only non-custodial sanctions; i</w:t>
      </w:r>
      <w:r w:rsidR="00D623F3" w:rsidRPr="006456FD">
        <w:rPr>
          <w:lang w:val="en-US"/>
        </w:rPr>
        <w:t xml:space="preserve">f the </w:t>
      </w:r>
      <w:r w:rsidR="00D623F3">
        <w:rPr>
          <w:lang w:val="en-US"/>
        </w:rPr>
        <w:t>accused</w:t>
      </w:r>
      <w:r w:rsidR="00D623F3" w:rsidRPr="006456FD">
        <w:rPr>
          <w:lang w:val="en-US"/>
        </w:rPr>
        <w:t xml:space="preserve"> </w:t>
      </w:r>
      <w:r w:rsidR="00D623F3">
        <w:rPr>
          <w:lang w:val="en-US"/>
        </w:rPr>
        <w:t xml:space="preserve">person </w:t>
      </w:r>
      <w:r w:rsidR="00D623F3" w:rsidRPr="006456FD">
        <w:rPr>
          <w:lang w:val="en-US"/>
        </w:rPr>
        <w:t>has defence counsel, imprisonment for a term not exceeding one year may also be imposed, provided its enforcement is suspended on probation</w:t>
      </w:r>
      <w:r w:rsidR="00D623F3">
        <w:rPr>
          <w:lang w:val="en-US"/>
        </w:rPr>
        <w:t xml:space="preserve"> (section 407(2) CCP)</w:t>
      </w:r>
      <w:r w:rsidR="00D623F3" w:rsidRPr="006456FD">
        <w:rPr>
          <w:lang w:val="en-US"/>
        </w:rPr>
        <w:t>.</w:t>
      </w:r>
      <w:r w:rsidR="00D623F3">
        <w:rPr>
          <w:lang w:val="en-US"/>
        </w:rPr>
        <w:t xml:space="preserve"> Alternatively, the public prosecutor </w:t>
      </w:r>
      <w:r w:rsidR="00D623F3" w:rsidRPr="00D623F3">
        <w:rPr>
          <w:lang w:val="en-US"/>
        </w:rPr>
        <w:t xml:space="preserve">may dispense with the </w:t>
      </w:r>
      <w:r w:rsidR="00673B08">
        <w:rPr>
          <w:lang w:val="en-US"/>
        </w:rPr>
        <w:t xml:space="preserve">bringing </w:t>
      </w:r>
      <w:r w:rsidR="00D623F3" w:rsidRPr="00D623F3">
        <w:rPr>
          <w:lang w:val="en-US"/>
        </w:rPr>
        <w:t>of public charges and concurrently impose conditions on and issue directions to the accused</w:t>
      </w:r>
      <w:r w:rsidR="00D623F3">
        <w:rPr>
          <w:lang w:val="en-US"/>
        </w:rPr>
        <w:t xml:space="preserve"> person (section 153a CCP, e.g. payment of a certain amount of money).</w:t>
      </w:r>
      <w:r w:rsidR="00AD6F00">
        <w:rPr>
          <w:lang w:val="en-US"/>
        </w:rPr>
        <w:t xml:space="preserve"> </w:t>
      </w:r>
      <w:r w:rsidR="00D623F3">
        <w:rPr>
          <w:lang w:val="en-US"/>
        </w:rPr>
        <w:t>I</w:t>
      </w:r>
      <w:r w:rsidR="005F3844">
        <w:rPr>
          <w:lang w:val="en-US"/>
        </w:rPr>
        <w:t>n these</w:t>
      </w:r>
      <w:r w:rsidR="00D623F3">
        <w:rPr>
          <w:lang w:val="en-US"/>
        </w:rPr>
        <w:t xml:space="preserve"> case</w:t>
      </w:r>
      <w:r w:rsidR="005F3844">
        <w:rPr>
          <w:lang w:val="en-US"/>
        </w:rPr>
        <w:t>s</w:t>
      </w:r>
      <w:r w:rsidR="00D623F3">
        <w:rPr>
          <w:lang w:val="en-US"/>
        </w:rPr>
        <w:t xml:space="preserve">, detention on remand due to the risk of flight would be disproportionate where </w:t>
      </w:r>
      <w:r w:rsidR="00D73E40" w:rsidRPr="00D73E40">
        <w:rPr>
          <w:lang w:val="en-US"/>
        </w:rPr>
        <w:t>the accused</w:t>
      </w:r>
      <w:r w:rsidR="00D73E40">
        <w:rPr>
          <w:lang w:val="en-US"/>
        </w:rPr>
        <w:t xml:space="preserve"> </w:t>
      </w:r>
      <w:r w:rsidR="00D623F3">
        <w:rPr>
          <w:lang w:val="en-US"/>
        </w:rPr>
        <w:t>person</w:t>
      </w:r>
      <w:r w:rsidR="00D73E40">
        <w:rPr>
          <w:lang w:val="en-US"/>
        </w:rPr>
        <w:t xml:space="preserve"> </w:t>
      </w:r>
      <w:r w:rsidR="00D73E40" w:rsidRPr="00D73E40">
        <w:rPr>
          <w:lang w:val="en-US"/>
        </w:rPr>
        <w:t>provide</w:t>
      </w:r>
      <w:r w:rsidR="00D623F3">
        <w:rPr>
          <w:lang w:val="en-US"/>
        </w:rPr>
        <w:t>s</w:t>
      </w:r>
      <w:r w:rsidR="00D73E40" w:rsidRPr="00D73E40">
        <w:rPr>
          <w:lang w:val="en-US"/>
        </w:rPr>
        <w:t xml:space="preserve"> adequate security for the anticipated fine and the costs of the proceedings </w:t>
      </w:r>
      <w:r w:rsidR="00D623F3">
        <w:rPr>
          <w:lang w:val="en-US"/>
        </w:rPr>
        <w:t>(section 127a CCP).</w:t>
      </w:r>
      <w:r w:rsidR="00D73E40">
        <w:rPr>
          <w:rStyle w:val="Funotenzeichen"/>
          <w:lang w:val="en-US"/>
        </w:rPr>
        <w:footnoteReference w:id="205"/>
      </w:r>
    </w:p>
    <w:p w14:paraId="4BB5DB8A" w14:textId="37107593" w:rsidR="00F16FD5" w:rsidRPr="00E805C3" w:rsidRDefault="00D73E40" w:rsidP="00F16FD5">
      <w:pPr>
        <w:spacing w:line="360" w:lineRule="auto"/>
        <w:jc w:val="both"/>
        <w:rPr>
          <w:lang w:val="en-US"/>
        </w:rPr>
      </w:pPr>
      <w:r>
        <w:rPr>
          <w:lang w:val="en-US"/>
        </w:rPr>
        <w:t xml:space="preserve">However, there may be cases </w:t>
      </w:r>
      <w:r w:rsidR="0080328E">
        <w:rPr>
          <w:lang w:val="en-US"/>
        </w:rPr>
        <w:t>where a ground for detention can be established (e.g. the risk of flight is derived from the level of the expected sentence), but the purpose of remand detention can be achieved by a less intrusive means (section 116 CCP); the ESO enables the court to adopt directions or other supervision measures to the same extent as in purely domestic cases.</w:t>
      </w:r>
      <w:r w:rsidR="0080328E">
        <w:rPr>
          <w:rStyle w:val="Funotenzeichen"/>
          <w:lang w:val="en-US"/>
        </w:rPr>
        <w:footnoteReference w:id="206"/>
      </w:r>
      <w:r w:rsidR="001753EE">
        <w:rPr>
          <w:lang w:val="en-US"/>
        </w:rPr>
        <w:t xml:space="preserve"> In its decision, the court must consider the objectives in Art. 2(1) FD 2009/829/JHA, i.e. the promoting the use of non-custodial measures as less intrusive means (proportionality)</w:t>
      </w:r>
      <w:r w:rsidR="000C2781">
        <w:rPr>
          <w:lang w:val="en-US"/>
        </w:rPr>
        <w:t xml:space="preserve"> and the rights of the defendant (Art. 18 TFEU) on the one hand</w:t>
      </w:r>
      <w:r w:rsidR="001753EE">
        <w:rPr>
          <w:lang w:val="en-US"/>
        </w:rPr>
        <w:t xml:space="preserve"> and the interest in effective </w:t>
      </w:r>
      <w:r w:rsidR="001753EE">
        <w:rPr>
          <w:lang w:val="en-US"/>
        </w:rPr>
        <w:lastRenderedPageBreak/>
        <w:t>prosecution</w:t>
      </w:r>
      <w:r w:rsidR="000C2781">
        <w:rPr>
          <w:lang w:val="en-US"/>
        </w:rPr>
        <w:t xml:space="preserve"> on the other (see also recitals (5), (18) FD 2009/829/JHA)</w:t>
      </w:r>
      <w:r w:rsidR="001753EE">
        <w:rPr>
          <w:lang w:val="en-US"/>
        </w:rPr>
        <w:t>.</w:t>
      </w:r>
      <w:r w:rsidR="001753EE">
        <w:rPr>
          <w:rStyle w:val="Funotenzeichen"/>
          <w:lang w:val="en-US"/>
        </w:rPr>
        <w:footnoteReference w:id="207"/>
      </w:r>
      <w:r w:rsidR="00D102E8">
        <w:rPr>
          <w:lang w:val="en-US"/>
        </w:rPr>
        <w:t xml:space="preserve"> If the </w:t>
      </w:r>
      <w:r w:rsidR="00200B1A">
        <w:rPr>
          <w:lang w:val="en-US"/>
        </w:rPr>
        <w:t>judge</w:t>
      </w:r>
      <w:r w:rsidR="00D102E8">
        <w:rPr>
          <w:lang w:val="en-US"/>
        </w:rPr>
        <w:t xml:space="preserve"> suspends the enforcement of the arrest warrant and issues a</w:t>
      </w:r>
      <w:r w:rsidR="001C67F0">
        <w:rPr>
          <w:lang w:val="en-US"/>
        </w:rPr>
        <w:t>n</w:t>
      </w:r>
      <w:r w:rsidR="00D102E8">
        <w:rPr>
          <w:lang w:val="en-US"/>
        </w:rPr>
        <w:t xml:space="preserve"> ESO, </w:t>
      </w:r>
      <w:r w:rsidR="00200B1A">
        <w:rPr>
          <w:lang w:val="en-US"/>
        </w:rPr>
        <w:t xml:space="preserve">the release of the detained person can be ordered upon the condition that the other MS accepts the </w:t>
      </w:r>
      <w:r w:rsidR="00E805C3">
        <w:rPr>
          <w:lang w:val="en-US"/>
        </w:rPr>
        <w:t>request to monitor the supervision measures.</w:t>
      </w:r>
      <w:r w:rsidR="00E805C3">
        <w:rPr>
          <w:rStyle w:val="Funotenzeichen"/>
          <w:lang w:val="en-US"/>
        </w:rPr>
        <w:footnoteReference w:id="208"/>
      </w:r>
    </w:p>
    <w:p w14:paraId="5E2A9607" w14:textId="77777777" w:rsidR="00F16FD5" w:rsidRPr="00353C2A" w:rsidRDefault="00F16FD5" w:rsidP="00777A20">
      <w:pPr>
        <w:spacing w:line="360" w:lineRule="auto"/>
        <w:ind w:left="2268"/>
        <w:jc w:val="both"/>
        <w:rPr>
          <w:color w:val="FF0000"/>
          <w:lang w:val="en-GB"/>
        </w:rPr>
      </w:pPr>
    </w:p>
    <w:p w14:paraId="5C4C14C7" w14:textId="77777777" w:rsidR="00B54B8E" w:rsidRPr="000C50DF" w:rsidRDefault="00B54B8E" w:rsidP="00777A20">
      <w:pPr>
        <w:pStyle w:val="berschrift5"/>
        <w:ind w:left="1843" w:hanging="425"/>
        <w:rPr>
          <w:lang w:val="en-GB"/>
        </w:rPr>
      </w:pPr>
      <w:bookmarkStart w:id="162" w:name="_Toc147328980"/>
      <w:bookmarkStart w:id="163" w:name="_Toc147329092"/>
      <w:bookmarkStart w:id="164" w:name="_Toc170228522"/>
      <w:r w:rsidRPr="000C50DF">
        <w:rPr>
          <w:lang w:val="en-GB"/>
        </w:rPr>
        <w:t>Person concerned is present in another MS</w:t>
      </w:r>
      <w:bookmarkEnd w:id="162"/>
      <w:bookmarkEnd w:id="163"/>
      <w:bookmarkEnd w:id="164"/>
    </w:p>
    <w:p w14:paraId="6DC60303" w14:textId="77777777" w:rsidR="00B54B8E" w:rsidRPr="00CF2A65" w:rsidRDefault="00B54B8E" w:rsidP="00777A20">
      <w:pPr>
        <w:pStyle w:val="berschrift6"/>
        <w:numPr>
          <w:ilvl w:val="0"/>
          <w:numId w:val="47"/>
        </w:numPr>
        <w:ind w:left="1701" w:firstLine="0"/>
        <w:rPr>
          <w:lang w:val="en-GB"/>
        </w:rPr>
      </w:pPr>
      <w:bookmarkStart w:id="165" w:name="_Toc147328981"/>
      <w:bookmarkStart w:id="166" w:name="_Toc147329093"/>
      <w:bookmarkStart w:id="167" w:name="_Toc170228523"/>
      <w:r w:rsidRPr="00CF2A65">
        <w:rPr>
          <w:lang w:val="en-GB"/>
        </w:rPr>
        <w:t>detention on remand possible but not ordered</w:t>
      </w:r>
      <w:bookmarkEnd w:id="165"/>
      <w:bookmarkEnd w:id="166"/>
      <w:bookmarkEnd w:id="167"/>
    </w:p>
    <w:p w14:paraId="606E796F" w14:textId="77777777" w:rsidR="00B54B8E" w:rsidRPr="00353C2A" w:rsidRDefault="00B54B8E" w:rsidP="00777A20">
      <w:pPr>
        <w:spacing w:line="360" w:lineRule="auto"/>
        <w:ind w:left="1843"/>
        <w:jc w:val="both"/>
        <w:rPr>
          <w:lang w:val="en-GB"/>
        </w:rPr>
      </w:pPr>
      <w:r w:rsidRPr="00353C2A">
        <w:rPr>
          <w:lang w:val="en-GB"/>
        </w:rPr>
        <w:t>(aa) Executing investigative measures/prosecution such as interrogating the suspect</w:t>
      </w:r>
    </w:p>
    <w:p w14:paraId="09356E2B" w14:textId="1D1467AA" w:rsidR="00B54B8E" w:rsidRPr="000C50DF" w:rsidRDefault="00B54B8E" w:rsidP="00777A20">
      <w:pPr>
        <w:pStyle w:val="Listenabsatz"/>
        <w:numPr>
          <w:ilvl w:val="0"/>
          <w:numId w:val="32"/>
        </w:numPr>
        <w:spacing w:line="360" w:lineRule="auto"/>
        <w:ind w:left="2410" w:hanging="142"/>
        <w:jc w:val="both"/>
        <w:rPr>
          <w:lang w:val="en-GB"/>
        </w:rPr>
      </w:pPr>
      <w:r w:rsidRPr="000C50DF">
        <w:rPr>
          <w:lang w:val="en-GB"/>
        </w:rPr>
        <w:t>DR 2014/41</w:t>
      </w:r>
      <w:r w:rsidR="00DE69B4">
        <w:rPr>
          <w:rStyle w:val="Funotenzeichen"/>
          <w:lang w:val="en-GB"/>
        </w:rPr>
        <w:footnoteReference w:id="209"/>
      </w:r>
    </w:p>
    <w:p w14:paraId="1ACF03FE" w14:textId="77777777" w:rsidR="002768A4" w:rsidRDefault="00B54B8E" w:rsidP="00777A20">
      <w:pPr>
        <w:spacing w:line="360" w:lineRule="auto"/>
        <w:ind w:left="2268"/>
        <w:jc w:val="both"/>
        <w:rPr>
          <w:color w:val="FF0000"/>
          <w:lang w:val="en-GB"/>
        </w:rPr>
      </w:pPr>
      <w:r w:rsidRPr="00353C2A">
        <w:rPr>
          <w:color w:val="FF0000"/>
          <w:lang w:val="en-GB"/>
        </w:rPr>
        <w:t>Temporary transfer</w:t>
      </w:r>
      <w:r w:rsidR="005F4ACA">
        <w:rPr>
          <w:rStyle w:val="Funotenzeichen"/>
          <w:color w:val="FF0000"/>
          <w:lang w:val="en-GB"/>
        </w:rPr>
        <w:footnoteReference w:id="210"/>
      </w:r>
    </w:p>
    <w:p w14:paraId="1882C77A" w14:textId="6901AD68" w:rsidR="005E585B" w:rsidRPr="005E585B" w:rsidRDefault="005E585B" w:rsidP="005E585B">
      <w:pPr>
        <w:spacing w:line="360" w:lineRule="auto"/>
        <w:jc w:val="both"/>
        <w:rPr>
          <w:color w:val="FF0000"/>
          <w:highlight w:val="yellow"/>
          <w:lang w:val="en-US"/>
        </w:rPr>
      </w:pPr>
      <w:r>
        <w:rPr>
          <w:lang w:val="en-US"/>
        </w:rPr>
        <w:t>T</w:t>
      </w:r>
      <w:r w:rsidRPr="008B00CC">
        <w:rPr>
          <w:lang w:val="en-US"/>
        </w:rPr>
        <w:t>he transfer of a suspect who is detained in another Member State, cannot be requested by a</w:t>
      </w:r>
      <w:r w:rsidR="001C67F0">
        <w:rPr>
          <w:lang w:val="en-US"/>
        </w:rPr>
        <w:t>n</w:t>
      </w:r>
      <w:r w:rsidRPr="008B00CC">
        <w:rPr>
          <w:lang w:val="en-US"/>
        </w:rPr>
        <w:t xml:space="preserve"> EIO because the EAW is the suitable and primary cooperation instrument for the surrender of accused persons</w:t>
      </w:r>
      <w:r>
        <w:rPr>
          <w:lang w:val="en-US"/>
        </w:rPr>
        <w:t xml:space="preserve"> (</w:t>
      </w:r>
      <w:r>
        <w:rPr>
          <w:i/>
          <w:lang w:val="en-US"/>
        </w:rPr>
        <w:t xml:space="preserve">supra </w:t>
      </w:r>
      <w:r>
        <w:rPr>
          <w:lang w:val="en-US"/>
        </w:rPr>
        <w:t>2.1.1.). According to public prosecutors, such a transfer would be disproportionate because the accused person had a right to remain silent.</w:t>
      </w:r>
      <w:r>
        <w:rPr>
          <w:rStyle w:val="Funotenzeichen"/>
          <w:lang w:val="en-US"/>
        </w:rPr>
        <w:footnoteReference w:id="211"/>
      </w:r>
      <w:r w:rsidR="00936F15">
        <w:rPr>
          <w:lang w:val="en-US"/>
        </w:rPr>
        <w:t xml:space="preserve"> This corresponds to the view of the ministr</w:t>
      </w:r>
      <w:r w:rsidR="00BA6EEF">
        <w:rPr>
          <w:lang w:val="en-US"/>
        </w:rPr>
        <w:t>ies</w:t>
      </w:r>
      <w:r w:rsidR="00936F15">
        <w:rPr>
          <w:lang w:val="en-US"/>
        </w:rPr>
        <w:t xml:space="preserve"> of justice.</w:t>
      </w:r>
      <w:r w:rsidR="00936F15">
        <w:rPr>
          <w:rStyle w:val="Funotenzeichen"/>
          <w:lang w:val="en-US"/>
        </w:rPr>
        <w:footnoteReference w:id="212"/>
      </w:r>
    </w:p>
    <w:p w14:paraId="61D02F1A" w14:textId="1679ECD1" w:rsidR="00B54B8E" w:rsidRPr="005E585B" w:rsidRDefault="002768A4" w:rsidP="00777A20">
      <w:pPr>
        <w:spacing w:line="360" w:lineRule="auto"/>
        <w:ind w:left="2268"/>
        <w:jc w:val="both"/>
        <w:rPr>
          <w:color w:val="FF0000"/>
          <w:lang w:val="en-US"/>
        </w:rPr>
      </w:pPr>
      <w:r w:rsidRPr="005E585B">
        <w:rPr>
          <w:color w:val="FF0000"/>
          <w:lang w:val="en-US"/>
        </w:rPr>
        <w:t>V</w:t>
      </w:r>
      <w:r w:rsidR="00B54B8E" w:rsidRPr="005E585B">
        <w:rPr>
          <w:color w:val="FF0000"/>
          <w:lang w:val="en-US"/>
        </w:rPr>
        <w:t>ideoconference</w:t>
      </w:r>
    </w:p>
    <w:p w14:paraId="3EA63B9C" w14:textId="00664AF2" w:rsidR="005E585B" w:rsidRPr="005E585B" w:rsidRDefault="005E585B" w:rsidP="005E585B">
      <w:pPr>
        <w:spacing w:line="360" w:lineRule="auto"/>
        <w:jc w:val="both"/>
        <w:rPr>
          <w:color w:val="FF0000"/>
          <w:highlight w:val="yellow"/>
          <w:lang w:val="en-US"/>
        </w:rPr>
      </w:pPr>
      <w:r>
        <w:rPr>
          <w:lang w:val="en-US"/>
        </w:rPr>
        <w:t>German law allows for the issuing of a</w:t>
      </w:r>
      <w:r w:rsidR="001C67F0">
        <w:rPr>
          <w:lang w:val="en-US"/>
        </w:rPr>
        <w:t>n</w:t>
      </w:r>
      <w:r>
        <w:rPr>
          <w:lang w:val="en-US"/>
        </w:rPr>
        <w:t xml:space="preserve"> EIO </w:t>
      </w:r>
      <w:r w:rsidRPr="008B00CC">
        <w:rPr>
          <w:lang w:val="en-US"/>
        </w:rPr>
        <w:t>for an interrogation via videoconference.</w:t>
      </w:r>
      <w:r>
        <w:rPr>
          <w:lang w:val="en-US"/>
        </w:rPr>
        <w:t xml:space="preserve"> In practice, however, prosecutors do not use this cooperation instrument; instead, they request for an interrogation by the police or a written statement by the accused person.</w:t>
      </w:r>
      <w:r>
        <w:rPr>
          <w:rStyle w:val="Funotenzeichen"/>
          <w:lang w:val="en-US"/>
        </w:rPr>
        <w:footnoteReference w:id="213"/>
      </w:r>
      <w:r w:rsidR="000B4AE0">
        <w:rPr>
          <w:lang w:val="en-US"/>
        </w:rPr>
        <w:t xml:space="preserve"> An interrogation by videoconference is limited to exceptional cases (e.g. questioning a crown witness in a case related to organized crime).</w:t>
      </w:r>
      <w:r w:rsidR="000B4AE0">
        <w:rPr>
          <w:rStyle w:val="Funotenzeichen"/>
          <w:lang w:val="en-US"/>
        </w:rPr>
        <w:footnoteReference w:id="214"/>
      </w:r>
      <w:r w:rsidR="00BA6EEF">
        <w:rPr>
          <w:lang w:val="en-US"/>
        </w:rPr>
        <w:t xml:space="preserve"> As a matter of principle, this cooperation instrument is available and used for the interrogation of suspects and accused persons.</w:t>
      </w:r>
      <w:r w:rsidR="00BA6EEF">
        <w:rPr>
          <w:rStyle w:val="Funotenzeichen"/>
          <w:lang w:val="en-US"/>
        </w:rPr>
        <w:footnoteReference w:id="215"/>
      </w:r>
    </w:p>
    <w:p w14:paraId="26ED2500" w14:textId="23EA3F96" w:rsidR="002768A4" w:rsidRPr="00BC5ED2" w:rsidRDefault="002768A4" w:rsidP="005E585B">
      <w:pPr>
        <w:spacing w:line="360" w:lineRule="auto"/>
        <w:jc w:val="both"/>
        <w:rPr>
          <w:color w:val="FF0000"/>
          <w:lang w:val="en-US"/>
        </w:rPr>
      </w:pPr>
    </w:p>
    <w:p w14:paraId="0AABDD3A" w14:textId="77777777" w:rsidR="00B54B8E" w:rsidRPr="000C50DF" w:rsidRDefault="00B54B8E" w:rsidP="00777A20">
      <w:pPr>
        <w:pStyle w:val="Listenabsatz"/>
        <w:numPr>
          <w:ilvl w:val="0"/>
          <w:numId w:val="32"/>
        </w:numPr>
        <w:spacing w:line="360" w:lineRule="auto"/>
        <w:ind w:left="2410" w:hanging="142"/>
        <w:jc w:val="both"/>
        <w:rPr>
          <w:lang w:val="fr-FR"/>
        </w:rPr>
      </w:pPr>
      <w:r w:rsidRPr="000C50DF">
        <w:rPr>
          <w:lang w:val="fr-FR"/>
        </w:rPr>
        <w:lastRenderedPageBreak/>
        <w:t>EU Convention on Mutual Assistance</w:t>
      </w:r>
    </w:p>
    <w:p w14:paraId="7E52B94E" w14:textId="77777777" w:rsidR="00B54B8E" w:rsidRDefault="00B54B8E" w:rsidP="00777A20">
      <w:pPr>
        <w:spacing w:line="360" w:lineRule="auto"/>
        <w:ind w:left="2268"/>
        <w:jc w:val="both"/>
        <w:rPr>
          <w:color w:val="FF0000"/>
          <w:lang w:val="en-GB"/>
        </w:rPr>
      </w:pPr>
      <w:r w:rsidRPr="000C50DF">
        <w:rPr>
          <w:color w:val="FF0000"/>
          <w:lang w:val="en-GB"/>
        </w:rPr>
        <w:t>Inviting him for, e.g., an interrogation (sending/service documents)</w:t>
      </w:r>
    </w:p>
    <w:p w14:paraId="72E29843" w14:textId="418B5DEF" w:rsidR="005E585B" w:rsidRPr="005E585B" w:rsidRDefault="005E585B" w:rsidP="005E585B">
      <w:pPr>
        <w:spacing w:line="360" w:lineRule="auto"/>
        <w:jc w:val="both"/>
        <w:rPr>
          <w:color w:val="FF0000"/>
          <w:highlight w:val="yellow"/>
          <w:lang w:val="en-US"/>
        </w:rPr>
      </w:pPr>
      <w:r w:rsidRPr="00E12221">
        <w:rPr>
          <w:lang w:val="en-US"/>
        </w:rPr>
        <w:t>Serving a summons to the accused person is not subject to a particular threshold, either. Again, prosecutors do not use this cooperation instrument; instead, they request for an interrogation by the police or a written statement by the accused person.</w:t>
      </w:r>
      <w:r w:rsidRPr="00E12221">
        <w:rPr>
          <w:rStyle w:val="Funotenzeichen"/>
          <w:lang w:val="en-US"/>
        </w:rPr>
        <w:footnoteReference w:id="216"/>
      </w:r>
    </w:p>
    <w:p w14:paraId="79F83161" w14:textId="77777777" w:rsidR="005E585B" w:rsidRPr="005E585B" w:rsidRDefault="005E585B" w:rsidP="005E585B">
      <w:pPr>
        <w:spacing w:line="360" w:lineRule="auto"/>
        <w:jc w:val="both"/>
        <w:rPr>
          <w:color w:val="FF0000"/>
          <w:highlight w:val="yellow"/>
          <w:lang w:val="en-US"/>
        </w:rPr>
      </w:pPr>
    </w:p>
    <w:p w14:paraId="469BF13A" w14:textId="77777777" w:rsidR="00B54B8E" w:rsidRPr="00353C2A" w:rsidRDefault="00B54B8E" w:rsidP="00777A20">
      <w:pPr>
        <w:pStyle w:val="Listenabsatz"/>
        <w:numPr>
          <w:ilvl w:val="0"/>
          <w:numId w:val="33"/>
        </w:numPr>
        <w:spacing w:line="360" w:lineRule="auto"/>
        <w:ind w:left="2410" w:hanging="142"/>
        <w:jc w:val="both"/>
        <w:rPr>
          <w:color w:val="FF0000"/>
          <w:lang w:val="en-GB"/>
        </w:rPr>
      </w:pPr>
      <w:r w:rsidRPr="00353C2A">
        <w:rPr>
          <w:lang w:val="en-GB"/>
        </w:rPr>
        <w:t>Convention on Transfer of Proceedings/European Convention on Mutual Assistance in Criminal Matters</w:t>
      </w:r>
    </w:p>
    <w:p w14:paraId="67821CB4" w14:textId="77777777" w:rsidR="00B54B8E" w:rsidRDefault="00B54B8E" w:rsidP="00777A20">
      <w:pPr>
        <w:pStyle w:val="Listenabsatz"/>
        <w:spacing w:line="360" w:lineRule="auto"/>
        <w:ind w:left="2268"/>
        <w:jc w:val="both"/>
        <w:rPr>
          <w:lang w:val="en-GB"/>
        </w:rPr>
      </w:pPr>
      <w:r w:rsidRPr="00353C2A">
        <w:rPr>
          <w:color w:val="FF0000"/>
          <w:lang w:val="en-GB"/>
        </w:rPr>
        <w:t xml:space="preserve">Transferring the proceedings to that MS. </w:t>
      </w:r>
      <w:bookmarkStart w:id="168" w:name="_Hlk142645637"/>
      <w:r w:rsidRPr="00353C2A">
        <w:rPr>
          <w:color w:val="FF0000"/>
          <w:lang w:val="en-GB"/>
        </w:rPr>
        <w:t>This is not an instrument that provides for interrogating a suspect in another MS for the benefit of the investigation/prosecution in the issuing MS. However, given that the person concerned is present in another MS and his statement is needed, transferring the proceedings to the MS of residence may be an option.</w:t>
      </w:r>
      <w:r w:rsidRPr="00353C2A">
        <w:rPr>
          <w:lang w:val="en-GB"/>
        </w:rPr>
        <w:t xml:space="preserve">  </w:t>
      </w:r>
      <w:bookmarkEnd w:id="168"/>
    </w:p>
    <w:p w14:paraId="1F792D6D" w14:textId="77777777" w:rsidR="005E585B" w:rsidRDefault="005E585B" w:rsidP="005E585B">
      <w:pPr>
        <w:spacing w:line="360" w:lineRule="auto"/>
        <w:jc w:val="both"/>
        <w:rPr>
          <w:lang w:val="en-US"/>
        </w:rPr>
      </w:pPr>
    </w:p>
    <w:p w14:paraId="191CF160" w14:textId="6776FCA6" w:rsidR="006F74B3" w:rsidRDefault="005E585B" w:rsidP="005E585B">
      <w:pPr>
        <w:spacing w:line="360" w:lineRule="auto"/>
        <w:jc w:val="both"/>
        <w:rPr>
          <w:lang w:val="en-US"/>
        </w:rPr>
      </w:pPr>
      <w:r>
        <w:rPr>
          <w:lang w:val="en-US"/>
        </w:rPr>
        <w:t>As has been mentioned before (</w:t>
      </w:r>
      <w:r>
        <w:rPr>
          <w:i/>
          <w:lang w:val="en-US"/>
        </w:rPr>
        <w:t xml:space="preserve">supra </w:t>
      </w:r>
      <w:r>
        <w:rPr>
          <w:lang w:val="en-US"/>
        </w:rPr>
        <w:t>2.1.1.), a transfer of criminal proceedings usually requires that the accused person has been given the opportunity to give a statement</w:t>
      </w:r>
      <w:r w:rsidR="009636B6">
        <w:rPr>
          <w:lang w:val="en-US"/>
        </w:rPr>
        <w:t>,</w:t>
      </w:r>
      <w:r>
        <w:rPr>
          <w:rStyle w:val="Funotenzeichen"/>
          <w:lang w:val="en-US"/>
        </w:rPr>
        <w:footnoteReference w:id="217"/>
      </w:r>
      <w:r w:rsidR="009636B6" w:rsidRPr="009636B6">
        <w:rPr>
          <w:lang w:val="en-US"/>
        </w:rPr>
        <w:t xml:space="preserve"> </w:t>
      </w:r>
      <w:r w:rsidR="009636B6">
        <w:rPr>
          <w:lang w:val="en-US"/>
        </w:rPr>
        <w:t>a requirement that has also been included in Art. 6(3)</w:t>
      </w:r>
      <w:r w:rsidR="00704852">
        <w:rPr>
          <w:lang w:val="en-US"/>
        </w:rPr>
        <w:t xml:space="preserve"> lit. </w:t>
      </w:r>
      <w:r w:rsidR="009636B6">
        <w:rPr>
          <w:lang w:val="en-US"/>
        </w:rPr>
        <w:t xml:space="preserve">b of </w:t>
      </w:r>
      <w:r w:rsidR="00606F49">
        <w:rPr>
          <w:lang w:val="en-US"/>
        </w:rPr>
        <w:t>Regulation (EU) 2024/3011 on the transfer of proceedings in criminal matters</w:t>
      </w:r>
      <w:r w:rsidR="009636B6">
        <w:rPr>
          <w:lang w:val="en-US"/>
        </w:rPr>
        <w:t xml:space="preserve">. </w:t>
      </w:r>
      <w:r>
        <w:rPr>
          <w:lang w:val="en-US"/>
        </w:rPr>
        <w:t>So, a transfer of proceedings is not an alternative to the interrogation of the accused person.</w:t>
      </w:r>
    </w:p>
    <w:p w14:paraId="0A8337E4" w14:textId="77777777" w:rsidR="005E585B" w:rsidRPr="006F74B3" w:rsidRDefault="005E585B" w:rsidP="005E585B">
      <w:pPr>
        <w:spacing w:line="360" w:lineRule="auto"/>
        <w:jc w:val="both"/>
        <w:rPr>
          <w:color w:val="FF0000"/>
          <w:lang w:val="en-GB"/>
        </w:rPr>
      </w:pPr>
    </w:p>
    <w:p w14:paraId="05940F0B" w14:textId="77777777" w:rsidR="00B54B8E" w:rsidRPr="00353C2A" w:rsidRDefault="00B54B8E" w:rsidP="00777A20">
      <w:pPr>
        <w:spacing w:line="360" w:lineRule="auto"/>
        <w:ind w:left="1843" w:firstLine="3"/>
        <w:jc w:val="both"/>
        <w:rPr>
          <w:lang w:val="en-GB"/>
        </w:rPr>
      </w:pPr>
      <w:r w:rsidRPr="00353C2A">
        <w:rPr>
          <w:lang w:val="en-GB"/>
        </w:rPr>
        <w:t>(bb) Ensuring that the suspect is available</w:t>
      </w:r>
    </w:p>
    <w:p w14:paraId="1C11D0D2" w14:textId="4BA05615" w:rsidR="00B54B8E" w:rsidRPr="000C50DF" w:rsidRDefault="00B54B8E" w:rsidP="00777A20">
      <w:pPr>
        <w:pStyle w:val="Listenabsatz"/>
        <w:numPr>
          <w:ilvl w:val="0"/>
          <w:numId w:val="33"/>
        </w:numPr>
        <w:spacing w:line="360" w:lineRule="auto"/>
        <w:ind w:left="2410" w:hanging="142"/>
        <w:jc w:val="both"/>
        <w:rPr>
          <w:color w:val="FF0000"/>
          <w:lang w:val="en-GB"/>
        </w:rPr>
      </w:pPr>
      <w:r w:rsidRPr="000C50DF">
        <w:rPr>
          <w:lang w:val="en-GB"/>
        </w:rPr>
        <w:t>FD 200</w:t>
      </w:r>
      <w:r w:rsidR="00DD0126">
        <w:rPr>
          <w:lang w:val="en-GB"/>
        </w:rPr>
        <w:t>9</w:t>
      </w:r>
      <w:r w:rsidRPr="000C50DF">
        <w:rPr>
          <w:lang w:val="en-GB"/>
        </w:rPr>
        <w:t xml:space="preserve">/829/JHA </w:t>
      </w:r>
      <w:r w:rsidRPr="000C50DF">
        <w:rPr>
          <w:color w:val="FF0000"/>
          <w:lang w:val="en-GB"/>
        </w:rPr>
        <w:t>(?)</w:t>
      </w:r>
    </w:p>
    <w:p w14:paraId="7284C820" w14:textId="77777777" w:rsidR="00B54B8E" w:rsidRDefault="00B54B8E" w:rsidP="00777A20">
      <w:pPr>
        <w:spacing w:line="360" w:lineRule="auto"/>
        <w:ind w:left="2268"/>
        <w:jc w:val="both"/>
        <w:rPr>
          <w:lang w:val="en-GB"/>
        </w:rPr>
      </w:pPr>
      <w:r w:rsidRPr="000C50DF">
        <w:rPr>
          <w:color w:val="FF0000"/>
          <w:lang w:val="en-GB"/>
        </w:rPr>
        <w:t xml:space="preserve">An ESO is ‘an alternative to provisional detention’ (Art. 1 FD 2009/829/JHA). Is it possible </w:t>
      </w:r>
      <w:r w:rsidRPr="000C50DF">
        <w:rPr>
          <w:color w:val="FF0000"/>
          <w:u w:val="single"/>
          <w:lang w:val="en-GB"/>
        </w:rPr>
        <w:t>under national law</w:t>
      </w:r>
      <w:r w:rsidRPr="000C50DF">
        <w:rPr>
          <w:color w:val="FF0000"/>
          <w:lang w:val="en-GB"/>
        </w:rPr>
        <w:t xml:space="preserve"> to issue an ESO, if detention remand is possible but not ordered</w:t>
      </w:r>
      <w:bookmarkStart w:id="169" w:name="_Hlk142645699"/>
      <w:r w:rsidRPr="000C50DF">
        <w:rPr>
          <w:color w:val="FF0000"/>
          <w:lang w:val="en-GB"/>
        </w:rPr>
        <w:t>?</w:t>
      </w:r>
      <w:r w:rsidRPr="000C50DF">
        <w:rPr>
          <w:lang w:val="en-GB"/>
        </w:rPr>
        <w:t xml:space="preserve">  </w:t>
      </w:r>
    </w:p>
    <w:p w14:paraId="26F29ADD" w14:textId="77777777" w:rsidR="005E585B" w:rsidRPr="00BC5ED2" w:rsidRDefault="005E585B" w:rsidP="005E585B">
      <w:pPr>
        <w:spacing w:line="360" w:lineRule="auto"/>
        <w:jc w:val="both"/>
        <w:rPr>
          <w:highlight w:val="yellow"/>
          <w:lang w:val="en-US"/>
        </w:rPr>
      </w:pPr>
    </w:p>
    <w:p w14:paraId="123B7924" w14:textId="0D7B6684" w:rsidR="006F74B3" w:rsidRDefault="005E585B" w:rsidP="005E585B">
      <w:pPr>
        <w:spacing w:line="360" w:lineRule="auto"/>
        <w:jc w:val="both"/>
        <w:rPr>
          <w:lang w:val="en-GB"/>
        </w:rPr>
      </w:pPr>
      <w:r w:rsidRPr="005E585B">
        <w:rPr>
          <w:lang w:val="en-US"/>
        </w:rPr>
        <w:t>I</w:t>
      </w:r>
      <w:r w:rsidRPr="00344085">
        <w:rPr>
          <w:lang w:val="en-GB"/>
        </w:rPr>
        <w:t>f detention on remand is not possible (i.e. without an arrest warrant), a</w:t>
      </w:r>
      <w:r w:rsidR="001C67F0">
        <w:rPr>
          <w:lang w:val="en-GB"/>
        </w:rPr>
        <w:t>n</w:t>
      </w:r>
      <w:r w:rsidRPr="00344085">
        <w:rPr>
          <w:lang w:val="en-GB"/>
        </w:rPr>
        <w:t xml:space="preserve"> ESO must not be issued, either (</w:t>
      </w:r>
      <w:r w:rsidRPr="00344085">
        <w:rPr>
          <w:i/>
          <w:lang w:val="en-GB"/>
        </w:rPr>
        <w:t xml:space="preserve">supra </w:t>
      </w:r>
      <w:r>
        <w:rPr>
          <w:lang w:val="en-GB"/>
        </w:rPr>
        <w:t xml:space="preserve">2.2.1. </w:t>
      </w:r>
      <w:r w:rsidRPr="00344085">
        <w:rPr>
          <w:lang w:val="en-GB"/>
        </w:rPr>
        <w:t>(a)).</w:t>
      </w:r>
    </w:p>
    <w:p w14:paraId="0355BB88" w14:textId="77777777" w:rsidR="005E585B" w:rsidRPr="00EB1E89" w:rsidRDefault="005E585B" w:rsidP="005E585B">
      <w:pPr>
        <w:spacing w:line="360" w:lineRule="auto"/>
        <w:jc w:val="both"/>
        <w:rPr>
          <w:lang w:val="en-US"/>
        </w:rPr>
      </w:pPr>
    </w:p>
    <w:p w14:paraId="6AFE6A89" w14:textId="77777777" w:rsidR="00B54B8E" w:rsidRPr="007850BA" w:rsidRDefault="00B54B8E" w:rsidP="00777A20">
      <w:pPr>
        <w:pStyle w:val="Listenabsatz"/>
        <w:numPr>
          <w:ilvl w:val="0"/>
          <w:numId w:val="33"/>
        </w:numPr>
        <w:spacing w:line="360" w:lineRule="auto"/>
        <w:ind w:left="2410" w:hanging="142"/>
        <w:jc w:val="both"/>
        <w:rPr>
          <w:lang w:val="fr-FR"/>
        </w:rPr>
      </w:pPr>
      <w:bookmarkStart w:id="170" w:name="_Hlk142647124"/>
      <w:r w:rsidRPr="007850BA">
        <w:rPr>
          <w:lang w:val="fr-FR"/>
        </w:rPr>
        <w:t>EU Convention on Mutual Assistance</w:t>
      </w:r>
    </w:p>
    <w:p w14:paraId="3D49EDCD" w14:textId="77777777" w:rsidR="00B54B8E" w:rsidRDefault="00B54B8E" w:rsidP="00777A20">
      <w:pPr>
        <w:spacing w:line="360" w:lineRule="auto"/>
        <w:ind w:left="2268"/>
        <w:jc w:val="both"/>
        <w:rPr>
          <w:color w:val="FF0000"/>
          <w:lang w:val="en-GB"/>
        </w:rPr>
      </w:pPr>
      <w:r w:rsidRPr="00353C2A">
        <w:rPr>
          <w:color w:val="FF0000"/>
          <w:lang w:val="en-GB"/>
        </w:rPr>
        <w:lastRenderedPageBreak/>
        <w:t>Keeping in contact with him while he’s abroad (sending/service documents)</w:t>
      </w:r>
    </w:p>
    <w:p w14:paraId="5B341653" w14:textId="331016C2" w:rsidR="00D831F7" w:rsidRDefault="00D831F7" w:rsidP="00D831F7">
      <w:pPr>
        <w:spacing w:line="360" w:lineRule="auto"/>
        <w:jc w:val="both"/>
        <w:rPr>
          <w:color w:val="FF0000"/>
          <w:lang w:val="en-GB"/>
        </w:rPr>
      </w:pPr>
      <w:r>
        <w:rPr>
          <w:lang w:val="en-US"/>
        </w:rPr>
        <w:t>S</w:t>
      </w:r>
      <w:r w:rsidRPr="00E12221">
        <w:rPr>
          <w:lang w:val="en-US"/>
        </w:rPr>
        <w:t xml:space="preserve">erving a summons </w:t>
      </w:r>
      <w:r>
        <w:rPr>
          <w:lang w:val="en-US"/>
        </w:rPr>
        <w:t xml:space="preserve">or other documents </w:t>
      </w:r>
      <w:r w:rsidRPr="00E12221">
        <w:rPr>
          <w:lang w:val="en-US"/>
        </w:rPr>
        <w:t>to the accused person is not su</w:t>
      </w:r>
      <w:r>
        <w:rPr>
          <w:lang w:val="en-US"/>
        </w:rPr>
        <w:t>bject to a particular threshold. In practice, however, public prosecutors do not use this cooperation instrument.</w:t>
      </w:r>
    </w:p>
    <w:p w14:paraId="2F35882D" w14:textId="0B45E992" w:rsidR="006F74B3" w:rsidRPr="00BC5ED2" w:rsidRDefault="006F74B3" w:rsidP="00D831F7">
      <w:pPr>
        <w:spacing w:line="360" w:lineRule="auto"/>
        <w:jc w:val="both"/>
        <w:rPr>
          <w:color w:val="FF0000"/>
          <w:lang w:val="en-US"/>
        </w:rPr>
      </w:pPr>
    </w:p>
    <w:bookmarkEnd w:id="170"/>
    <w:p w14:paraId="583497D4" w14:textId="77777777" w:rsidR="00B54B8E" w:rsidRPr="00353C2A" w:rsidRDefault="00B54B8E" w:rsidP="00777A20">
      <w:pPr>
        <w:pStyle w:val="Listenabsatz"/>
        <w:numPr>
          <w:ilvl w:val="0"/>
          <w:numId w:val="33"/>
        </w:numPr>
        <w:spacing w:line="360" w:lineRule="auto"/>
        <w:ind w:left="2410" w:hanging="142"/>
        <w:jc w:val="both"/>
        <w:rPr>
          <w:lang w:val="en-GB"/>
        </w:rPr>
      </w:pPr>
      <w:r w:rsidRPr="00353C2A">
        <w:rPr>
          <w:lang w:val="en-GB"/>
        </w:rPr>
        <w:t>Convention on Transfer on Proceedings/European Convention on Mutual Assistance in Criminal Matters</w:t>
      </w:r>
    </w:p>
    <w:p w14:paraId="74B18F5B" w14:textId="77777777" w:rsidR="00B54B8E" w:rsidRDefault="00B54B8E" w:rsidP="00777A20">
      <w:pPr>
        <w:spacing w:line="360" w:lineRule="auto"/>
        <w:ind w:left="2268"/>
        <w:jc w:val="both"/>
        <w:rPr>
          <w:color w:val="FF0000"/>
          <w:lang w:val="en-GB"/>
        </w:rPr>
      </w:pPr>
      <w:r w:rsidRPr="00353C2A">
        <w:rPr>
          <w:color w:val="FF0000"/>
          <w:lang w:val="en-GB"/>
        </w:rPr>
        <w:t>Transferring the proceedings to that MS.</w:t>
      </w:r>
      <w:bookmarkStart w:id="171" w:name="_Hlk142643470"/>
      <w:r w:rsidR="000C50DF">
        <w:rPr>
          <w:color w:val="FF0000"/>
          <w:lang w:val="en-GB"/>
        </w:rPr>
        <w:t xml:space="preserve"> </w:t>
      </w:r>
      <w:r w:rsidRPr="00353C2A">
        <w:rPr>
          <w:color w:val="FF0000"/>
          <w:lang w:val="en-GB"/>
        </w:rPr>
        <w:t>This is not an instrument that provides for ensuring that a suspect is available in another MS for the benefit of the investigation/prosecution in the issuing MS. However, given that the person concerned is present in another MS and his statement is needed, transferring the proceedings to the MS of residence may be an option.</w:t>
      </w:r>
      <w:bookmarkEnd w:id="171"/>
      <w:r w:rsidR="000C50DF">
        <w:rPr>
          <w:color w:val="FF0000"/>
          <w:lang w:val="en-GB"/>
        </w:rPr>
        <w:t xml:space="preserve"> </w:t>
      </w:r>
    </w:p>
    <w:p w14:paraId="141E3865" w14:textId="082EEA34" w:rsidR="00D831F7" w:rsidRPr="00D831F7" w:rsidRDefault="00D831F7" w:rsidP="00D831F7">
      <w:pPr>
        <w:spacing w:line="360" w:lineRule="auto"/>
        <w:jc w:val="both"/>
        <w:rPr>
          <w:color w:val="FF0000"/>
          <w:highlight w:val="yellow"/>
          <w:lang w:val="en-US"/>
        </w:rPr>
      </w:pPr>
      <w:r w:rsidRPr="00810B30">
        <w:rPr>
          <w:lang w:val="en-US"/>
        </w:rPr>
        <w:t>C</w:t>
      </w:r>
      <w:r w:rsidRPr="00810B30">
        <w:rPr>
          <w:lang w:val="en-GB"/>
        </w:rPr>
        <w:t xml:space="preserve">riminal proceedings can be transferred </w:t>
      </w:r>
      <w:r w:rsidRPr="00810B30">
        <w:rPr>
          <w:lang w:val="en-US"/>
        </w:rPr>
        <w:t xml:space="preserve">irrespective of whether or not detention on remand is possible (or ordered) and whether the suspect is present in the issuing state (Germany) or another Member State. If the suspect, however, is present in another Member State and </w:t>
      </w:r>
      <w:r w:rsidR="003D22FC">
        <w:rPr>
          <w:lang w:val="en-US"/>
        </w:rPr>
        <w:t>the issuing of a</w:t>
      </w:r>
      <w:r w:rsidR="00127DD2">
        <w:rPr>
          <w:lang w:val="en-US"/>
        </w:rPr>
        <w:t>n</w:t>
      </w:r>
      <w:r w:rsidR="003D22FC">
        <w:rPr>
          <w:lang w:val="en-US"/>
        </w:rPr>
        <w:t xml:space="preserve"> </w:t>
      </w:r>
      <w:r w:rsidRPr="00810B30">
        <w:rPr>
          <w:lang w:val="en-US"/>
        </w:rPr>
        <w:t>EAW</w:t>
      </w:r>
      <w:r w:rsidR="003D22FC">
        <w:rPr>
          <w:lang w:val="en-US"/>
        </w:rPr>
        <w:t xml:space="preserve"> would be disproportionate</w:t>
      </w:r>
      <w:r w:rsidRPr="00810B30">
        <w:rPr>
          <w:lang w:val="en-US"/>
        </w:rPr>
        <w:t>, the public prosecutor shall consider a transfer of proceedings (No. 145(1) GICCM).</w:t>
      </w:r>
      <w:r w:rsidR="003D22FC">
        <w:rPr>
          <w:lang w:val="en-US"/>
        </w:rPr>
        <w:t xml:space="preserve"> In practice, however, the requested state is often unwilling to take proceedings for petty offences.</w:t>
      </w:r>
      <w:r w:rsidR="000B0F4A">
        <w:rPr>
          <w:rStyle w:val="Funotenzeichen"/>
          <w:lang w:val="en-US"/>
        </w:rPr>
        <w:footnoteReference w:id="218"/>
      </w:r>
      <w:r w:rsidR="000B0F4A" w:rsidDel="000B0F4A">
        <w:rPr>
          <w:rStyle w:val="Funotenzeichen"/>
          <w:lang w:val="en-US"/>
        </w:rPr>
        <w:t xml:space="preserve"> </w:t>
      </w:r>
    </w:p>
    <w:bookmarkEnd w:id="169"/>
    <w:p w14:paraId="2538C101" w14:textId="77777777" w:rsidR="00D831F7" w:rsidRDefault="00D831F7" w:rsidP="005E0ACB">
      <w:pPr>
        <w:spacing w:line="360" w:lineRule="auto"/>
        <w:jc w:val="both"/>
        <w:rPr>
          <w:lang w:val="en-GB"/>
        </w:rPr>
      </w:pPr>
    </w:p>
    <w:p w14:paraId="5AD5931D" w14:textId="3E06C823" w:rsidR="00B54B8E" w:rsidRPr="00353C2A" w:rsidRDefault="00D831F7" w:rsidP="00777A20">
      <w:pPr>
        <w:spacing w:line="360" w:lineRule="auto"/>
        <w:ind w:left="1843" w:firstLine="3"/>
        <w:jc w:val="both"/>
        <w:rPr>
          <w:lang w:val="en-GB"/>
        </w:rPr>
      </w:pPr>
      <w:r w:rsidRPr="00353C2A">
        <w:rPr>
          <w:lang w:val="en-GB"/>
        </w:rPr>
        <w:t xml:space="preserve"> </w:t>
      </w:r>
      <w:r w:rsidR="00B54B8E" w:rsidRPr="00353C2A">
        <w:rPr>
          <w:lang w:val="en-GB"/>
        </w:rPr>
        <w:t>(dd) Other (?)</w:t>
      </w:r>
    </w:p>
    <w:p w14:paraId="4E799F85" w14:textId="77777777" w:rsidR="00B54B8E" w:rsidRPr="000C50DF" w:rsidRDefault="00B54B8E" w:rsidP="00777A20">
      <w:pPr>
        <w:pStyle w:val="berschrift6"/>
        <w:ind w:left="1701" w:firstLine="0"/>
        <w:rPr>
          <w:lang w:val="en-GB"/>
        </w:rPr>
      </w:pPr>
      <w:bookmarkStart w:id="172" w:name="_Toc147328982"/>
      <w:bookmarkStart w:id="173" w:name="_Toc147329094"/>
      <w:bookmarkStart w:id="174" w:name="_Toc170228524"/>
      <w:r w:rsidRPr="000C50DF">
        <w:rPr>
          <w:lang w:val="en-GB"/>
        </w:rPr>
        <w:t>detention on remand ordered</w:t>
      </w:r>
      <w:bookmarkEnd w:id="172"/>
      <w:bookmarkEnd w:id="173"/>
      <w:bookmarkEnd w:id="174"/>
    </w:p>
    <w:p w14:paraId="2AE97EF2" w14:textId="77777777" w:rsidR="00B54B8E" w:rsidRPr="00353C2A" w:rsidRDefault="00B54B8E" w:rsidP="00777A20">
      <w:pPr>
        <w:spacing w:line="360" w:lineRule="auto"/>
        <w:ind w:left="1843"/>
        <w:jc w:val="both"/>
        <w:rPr>
          <w:lang w:val="en-GB"/>
        </w:rPr>
      </w:pPr>
      <w:r w:rsidRPr="00353C2A">
        <w:rPr>
          <w:lang w:val="en-GB"/>
        </w:rPr>
        <w:t>(aa) Executing investigative measures/prosecution such as interrogating the suspect</w:t>
      </w:r>
    </w:p>
    <w:p w14:paraId="5AB7C448" w14:textId="77777777" w:rsidR="00B54B8E" w:rsidRPr="000C50DF" w:rsidRDefault="00B54B8E" w:rsidP="00777A20">
      <w:pPr>
        <w:pStyle w:val="Listenabsatz"/>
        <w:numPr>
          <w:ilvl w:val="0"/>
          <w:numId w:val="33"/>
        </w:numPr>
        <w:spacing w:line="360" w:lineRule="auto"/>
        <w:ind w:left="2410" w:hanging="142"/>
        <w:jc w:val="both"/>
        <w:rPr>
          <w:color w:val="FF0000"/>
          <w:lang w:val="en-GB"/>
        </w:rPr>
      </w:pPr>
      <w:r w:rsidRPr="000C50DF">
        <w:rPr>
          <w:lang w:val="en-GB"/>
        </w:rPr>
        <w:t xml:space="preserve">FD 2002/584/JHA </w:t>
      </w:r>
      <w:r w:rsidRPr="000C50DF">
        <w:rPr>
          <w:color w:val="FF0000"/>
          <w:lang w:val="en-GB"/>
        </w:rPr>
        <w:t>(?)</w:t>
      </w:r>
    </w:p>
    <w:p w14:paraId="21401EA5" w14:textId="0ADB889D" w:rsidR="00FC725C" w:rsidRDefault="00B54B8E" w:rsidP="00777A20">
      <w:pPr>
        <w:spacing w:line="360" w:lineRule="auto"/>
        <w:ind w:left="2268"/>
        <w:jc w:val="both"/>
        <w:rPr>
          <w:color w:val="FF0000"/>
          <w:lang w:val="en-GB"/>
        </w:rPr>
      </w:pPr>
      <w:r w:rsidRPr="00353C2A">
        <w:rPr>
          <w:color w:val="FF0000"/>
          <w:u w:val="single"/>
          <w:lang w:val="en-GB"/>
        </w:rPr>
        <w:t>Under national law</w:t>
      </w:r>
      <w:r w:rsidRPr="00353C2A">
        <w:rPr>
          <w:color w:val="FF0000"/>
          <w:lang w:val="en-GB"/>
        </w:rPr>
        <w:t>, is it possible to issue a prosecution-EAW for the sole</w:t>
      </w:r>
      <w:r w:rsidR="000B0F4A">
        <w:rPr>
          <w:rStyle w:val="Funotenzeichen"/>
          <w:color w:val="FF0000"/>
          <w:lang w:val="en-GB"/>
        </w:rPr>
        <w:footnoteReference w:id="219"/>
      </w:r>
      <w:r w:rsidRPr="00353C2A">
        <w:rPr>
          <w:color w:val="FF0000"/>
          <w:lang w:val="en-GB"/>
        </w:rPr>
        <w:t xml:space="preserve"> purpose of interrogating the requested person as a suspect?</w:t>
      </w:r>
    </w:p>
    <w:p w14:paraId="2DB3AB9D" w14:textId="77777777" w:rsidR="006F74B3" w:rsidRDefault="00FC725C" w:rsidP="00777A20">
      <w:pPr>
        <w:spacing w:line="360" w:lineRule="auto"/>
        <w:ind w:left="2268"/>
        <w:jc w:val="both"/>
        <w:rPr>
          <w:color w:val="FF0000"/>
          <w:lang w:val="en-GB"/>
        </w:rPr>
      </w:pPr>
      <w:bookmarkStart w:id="176" w:name="_Hlk148704864"/>
      <w:r w:rsidRPr="00777A20">
        <w:rPr>
          <w:color w:val="FF0000"/>
          <w:lang w:val="en-GB"/>
        </w:rPr>
        <w:t>Pending the decision on the execution of a prosecution-EAW, the person concerned could be heard in the executing MS o</w:t>
      </w:r>
      <w:r w:rsidR="001E3808" w:rsidRPr="00777A20">
        <w:rPr>
          <w:color w:val="FF0000"/>
          <w:lang w:val="en-GB"/>
        </w:rPr>
        <w:t>r</w:t>
      </w:r>
      <w:r w:rsidRPr="00777A20">
        <w:rPr>
          <w:color w:val="FF0000"/>
          <w:lang w:val="en-GB"/>
        </w:rPr>
        <w:t xml:space="preserve"> be temporarily transferred to the issuing MS on the basis of Art. 18 and 19 FD 2002/584/JHA.</w:t>
      </w:r>
    </w:p>
    <w:p w14:paraId="0D51187C" w14:textId="0BBFC52C" w:rsidR="00D831F7" w:rsidRDefault="00D831F7" w:rsidP="00D831F7">
      <w:pPr>
        <w:spacing w:line="360" w:lineRule="auto"/>
        <w:jc w:val="both"/>
        <w:rPr>
          <w:color w:val="FF0000"/>
          <w:highlight w:val="yellow"/>
          <w:lang w:val="en-GB"/>
        </w:rPr>
      </w:pPr>
      <w:r>
        <w:rPr>
          <w:lang w:val="en-US"/>
        </w:rPr>
        <w:lastRenderedPageBreak/>
        <w:t>A</w:t>
      </w:r>
      <w:r w:rsidR="00127DD2">
        <w:rPr>
          <w:lang w:val="en-US"/>
        </w:rPr>
        <w:t>n</w:t>
      </w:r>
      <w:r>
        <w:rPr>
          <w:lang w:val="en-US"/>
        </w:rPr>
        <w:t xml:space="preserve"> EAW may only be issued on the basis of a domestic arrest warrant whereas the decision that the accused person is to be brought to the court (or the public prosecutor) for the purpose of his examination </w:t>
      </w:r>
      <w:r w:rsidRPr="00633946">
        <w:rPr>
          <w:lang w:val="en-US"/>
        </w:rPr>
        <w:t>(</w:t>
      </w:r>
      <w:r w:rsidR="00633946">
        <w:rPr>
          <w:lang w:val="en-US"/>
        </w:rPr>
        <w:t>‘</w:t>
      </w:r>
      <w:r w:rsidRPr="00CB796C">
        <w:rPr>
          <w:lang w:val="en-US"/>
        </w:rPr>
        <w:t>Vorführung</w:t>
      </w:r>
      <w:r w:rsidR="00633946">
        <w:rPr>
          <w:lang w:val="en-US"/>
        </w:rPr>
        <w:t>’</w:t>
      </w:r>
      <w:r>
        <w:rPr>
          <w:lang w:val="en-US"/>
        </w:rPr>
        <w:t>, sections 133(2), 134, 163a(2)2 CCP) is not sufficient</w:t>
      </w:r>
      <w:r w:rsidR="003C4192">
        <w:rPr>
          <w:lang w:val="en-US"/>
        </w:rPr>
        <w:t xml:space="preserve"> (see, however, with regard to the presence of the accused person at the trial stage </w:t>
      </w:r>
      <w:r w:rsidR="003C4192">
        <w:rPr>
          <w:i/>
          <w:lang w:val="en-US"/>
        </w:rPr>
        <w:t xml:space="preserve">infra </w:t>
      </w:r>
      <w:r w:rsidR="003C4192">
        <w:rPr>
          <w:lang w:val="en-US"/>
        </w:rPr>
        <w:t>2.3.)</w:t>
      </w:r>
      <w:r>
        <w:rPr>
          <w:lang w:val="en-US"/>
        </w:rPr>
        <w:t>.</w:t>
      </w:r>
      <w:r>
        <w:rPr>
          <w:rStyle w:val="Funotenzeichen"/>
          <w:lang w:val="en-US"/>
        </w:rPr>
        <w:footnoteReference w:id="220"/>
      </w:r>
      <w:r>
        <w:rPr>
          <w:lang w:val="en-US"/>
        </w:rPr>
        <w:t xml:space="preserve"> </w:t>
      </w:r>
      <w:r w:rsidR="000B4AE0">
        <w:rPr>
          <w:lang w:val="en-US"/>
        </w:rPr>
        <w:t>The options under Art. 18, 19 FD EAW are available if a</w:t>
      </w:r>
      <w:r w:rsidR="00127DD2">
        <w:rPr>
          <w:lang w:val="en-US"/>
        </w:rPr>
        <w:t>n</w:t>
      </w:r>
      <w:r w:rsidR="000B4AE0">
        <w:rPr>
          <w:lang w:val="en-US"/>
        </w:rPr>
        <w:t xml:space="preserve"> EAW has been issued, but they do not </w:t>
      </w:r>
      <w:r w:rsidR="00426AAE">
        <w:rPr>
          <w:lang w:val="en-US"/>
        </w:rPr>
        <w:t>extend the legal basis of remand detention under the law of the issuing state.</w:t>
      </w:r>
      <w:r w:rsidR="00426AAE">
        <w:rPr>
          <w:rStyle w:val="Funotenzeichen"/>
          <w:lang w:val="en-US"/>
        </w:rPr>
        <w:footnoteReference w:id="221"/>
      </w:r>
      <w:r w:rsidR="00426AAE">
        <w:rPr>
          <w:lang w:val="en-US"/>
        </w:rPr>
        <w:t xml:space="preserve"> </w:t>
      </w:r>
      <w:r>
        <w:rPr>
          <w:lang w:val="en-US"/>
        </w:rPr>
        <w:t>According to public prosecutors, the issuing of a</w:t>
      </w:r>
      <w:r w:rsidR="00127DD2">
        <w:rPr>
          <w:lang w:val="en-US"/>
        </w:rPr>
        <w:t>n</w:t>
      </w:r>
      <w:r>
        <w:rPr>
          <w:lang w:val="en-US"/>
        </w:rPr>
        <w:t xml:space="preserve"> EAW would be disproportionate because the accused person had a right to remain silent.</w:t>
      </w:r>
      <w:r>
        <w:rPr>
          <w:rStyle w:val="Funotenzeichen"/>
          <w:lang w:val="en-US"/>
        </w:rPr>
        <w:footnoteReference w:id="222"/>
      </w:r>
      <w:r w:rsidR="000B4AE0">
        <w:rPr>
          <w:lang w:val="en-US"/>
        </w:rPr>
        <w:t xml:space="preserve"> </w:t>
      </w:r>
      <w:r w:rsidR="00426AAE">
        <w:rPr>
          <w:lang w:val="en-US"/>
        </w:rPr>
        <w:t xml:space="preserve">Defence counsels shared this view and argued that arrest and detention are not </w:t>
      </w:r>
      <w:r w:rsidR="00DF47B9">
        <w:rPr>
          <w:lang w:val="en-US"/>
        </w:rPr>
        <w:t>required</w:t>
      </w:r>
      <w:r w:rsidR="00426AAE">
        <w:rPr>
          <w:lang w:val="en-US"/>
        </w:rPr>
        <w:t xml:space="preserve"> to ensure that the accused person can exercise his right to be heard, either, because this right can be exercised by a written statement as well.</w:t>
      </w:r>
      <w:r w:rsidR="00426AAE">
        <w:rPr>
          <w:rStyle w:val="Funotenzeichen"/>
          <w:lang w:val="en-US"/>
        </w:rPr>
        <w:footnoteReference w:id="223"/>
      </w:r>
      <w:r w:rsidR="00426AAE">
        <w:rPr>
          <w:lang w:val="en-US"/>
        </w:rPr>
        <w:t xml:space="preserve"> Defence counsels pointed out that in some Member States (such as the Netherlands) </w:t>
      </w:r>
      <w:r w:rsidR="008C6178">
        <w:rPr>
          <w:lang w:val="en-US"/>
        </w:rPr>
        <w:t xml:space="preserve">the executing authorities use the option to release the arrested person if detention is not necessary to prevent </w:t>
      </w:r>
      <w:r w:rsidR="006E5AE7">
        <w:rPr>
          <w:lang w:val="en-US"/>
        </w:rPr>
        <w:t xml:space="preserve">the person </w:t>
      </w:r>
      <w:r w:rsidR="008C6178">
        <w:rPr>
          <w:lang w:val="en-US"/>
        </w:rPr>
        <w:t xml:space="preserve">from </w:t>
      </w:r>
      <w:r w:rsidR="006E5AE7">
        <w:rPr>
          <w:lang w:val="en-US"/>
        </w:rPr>
        <w:t xml:space="preserve">absconding </w:t>
      </w:r>
      <w:r w:rsidR="008C6178">
        <w:rPr>
          <w:lang w:val="en-US"/>
        </w:rPr>
        <w:t>and to ensure surrender</w:t>
      </w:r>
      <w:r w:rsidR="000F6EE4">
        <w:rPr>
          <w:lang w:val="en-US"/>
        </w:rPr>
        <w:t>.</w:t>
      </w:r>
      <w:r w:rsidR="008C5E90">
        <w:rPr>
          <w:lang w:val="en-US"/>
        </w:rPr>
        <w:t xml:space="preserve"> In such a case</w:t>
      </w:r>
      <w:r w:rsidR="00426AAE">
        <w:rPr>
          <w:lang w:val="en-US"/>
        </w:rPr>
        <w:t xml:space="preserve">, </w:t>
      </w:r>
      <w:r w:rsidR="00BF207D">
        <w:rPr>
          <w:lang w:val="en-US"/>
        </w:rPr>
        <w:t>the</w:t>
      </w:r>
      <w:r w:rsidR="00426AAE">
        <w:rPr>
          <w:lang w:val="en-US"/>
        </w:rPr>
        <w:t xml:space="preserve"> issuing (German) authority </w:t>
      </w:r>
      <w:r w:rsidR="00BF207D">
        <w:rPr>
          <w:lang w:val="en-US"/>
        </w:rPr>
        <w:t>granted safe conduct (section 295 CCP) in order to question the accused person in Germany</w:t>
      </w:r>
      <w:r w:rsidR="008C5E90">
        <w:rPr>
          <w:lang w:val="en-US"/>
        </w:rPr>
        <w:t>; after the interrogation, the court revoked the arrest warrant and the proceedings were</w:t>
      </w:r>
      <w:r w:rsidR="00BF207D">
        <w:rPr>
          <w:lang w:val="en-US"/>
        </w:rPr>
        <w:t xml:space="preserve"> closed by transaction (section 153a CCP).</w:t>
      </w:r>
      <w:r w:rsidR="00BF207D">
        <w:rPr>
          <w:rStyle w:val="Funotenzeichen"/>
          <w:lang w:val="en-US"/>
        </w:rPr>
        <w:footnoteReference w:id="224"/>
      </w:r>
    </w:p>
    <w:bookmarkEnd w:id="176"/>
    <w:p w14:paraId="56F1EB1A" w14:textId="3E7A59CF" w:rsidR="00B54B8E" w:rsidRPr="00777A20" w:rsidRDefault="00B54B8E" w:rsidP="00D831F7">
      <w:pPr>
        <w:spacing w:line="360" w:lineRule="auto"/>
        <w:jc w:val="both"/>
        <w:rPr>
          <w:color w:val="FF0000"/>
          <w:lang w:val="en-GB"/>
        </w:rPr>
      </w:pPr>
    </w:p>
    <w:p w14:paraId="19D52255" w14:textId="4DDE6056" w:rsidR="00B54B8E" w:rsidRPr="000C50DF" w:rsidRDefault="00B54B8E" w:rsidP="00777A20">
      <w:pPr>
        <w:pStyle w:val="Listenabsatz"/>
        <w:numPr>
          <w:ilvl w:val="0"/>
          <w:numId w:val="33"/>
        </w:numPr>
        <w:spacing w:line="360" w:lineRule="auto"/>
        <w:ind w:left="2410" w:hanging="142"/>
        <w:jc w:val="both"/>
        <w:rPr>
          <w:lang w:val="en-GB"/>
        </w:rPr>
      </w:pPr>
      <w:r w:rsidRPr="000C50DF">
        <w:rPr>
          <w:lang w:val="en-GB"/>
        </w:rPr>
        <w:t>DR 2014/41</w:t>
      </w:r>
      <w:r w:rsidR="00DE69B4">
        <w:rPr>
          <w:rStyle w:val="Funotenzeichen"/>
          <w:lang w:val="en-GB"/>
        </w:rPr>
        <w:footnoteReference w:id="225"/>
      </w:r>
    </w:p>
    <w:p w14:paraId="42736A49" w14:textId="77777777" w:rsidR="006F74B3" w:rsidRDefault="00B54B8E" w:rsidP="00777A20">
      <w:pPr>
        <w:spacing w:line="360" w:lineRule="auto"/>
        <w:ind w:left="2268"/>
        <w:jc w:val="both"/>
        <w:rPr>
          <w:color w:val="FF0000"/>
          <w:lang w:val="en-GB"/>
        </w:rPr>
      </w:pPr>
      <w:r w:rsidRPr="00353C2A">
        <w:rPr>
          <w:color w:val="FF0000"/>
          <w:lang w:val="en-GB"/>
        </w:rPr>
        <w:t>Temporary transfer</w:t>
      </w:r>
      <w:r w:rsidR="005F4ACA">
        <w:rPr>
          <w:rStyle w:val="Funotenzeichen"/>
          <w:color w:val="FF0000"/>
          <w:lang w:val="en-GB"/>
        </w:rPr>
        <w:footnoteReference w:id="226"/>
      </w:r>
    </w:p>
    <w:p w14:paraId="76D43E27" w14:textId="251B6411" w:rsidR="00D831F7" w:rsidRPr="00D831F7" w:rsidRDefault="00D831F7" w:rsidP="00D831F7">
      <w:pPr>
        <w:spacing w:line="360" w:lineRule="auto"/>
        <w:jc w:val="both"/>
        <w:rPr>
          <w:color w:val="FF0000"/>
          <w:highlight w:val="yellow"/>
          <w:lang w:val="en-US"/>
        </w:rPr>
      </w:pPr>
      <w:r>
        <w:rPr>
          <w:lang w:val="en-US"/>
        </w:rPr>
        <w:t>T</w:t>
      </w:r>
      <w:r w:rsidRPr="008B00CC">
        <w:rPr>
          <w:lang w:val="en-US"/>
        </w:rPr>
        <w:t>he transfer of a suspect who is detained in another Member State, cannot be requested by a</w:t>
      </w:r>
      <w:r w:rsidR="001C67F0">
        <w:rPr>
          <w:lang w:val="en-US"/>
        </w:rPr>
        <w:t>n</w:t>
      </w:r>
      <w:r w:rsidRPr="008B00CC">
        <w:rPr>
          <w:lang w:val="en-US"/>
        </w:rPr>
        <w:t xml:space="preserve"> EIO because the EAW is the suitable and primary cooperation instrument for the surrender of accused persons</w:t>
      </w:r>
      <w:r>
        <w:rPr>
          <w:lang w:val="en-US"/>
        </w:rPr>
        <w:t xml:space="preserve"> (</w:t>
      </w:r>
      <w:r>
        <w:rPr>
          <w:i/>
          <w:lang w:val="en-US"/>
        </w:rPr>
        <w:t xml:space="preserve">supra </w:t>
      </w:r>
      <w:r>
        <w:rPr>
          <w:lang w:val="en-US"/>
        </w:rPr>
        <w:t xml:space="preserve">2.1.1.). According to public prosecutors, </w:t>
      </w:r>
      <w:r w:rsidR="006241B2">
        <w:rPr>
          <w:lang w:val="en-US"/>
        </w:rPr>
        <w:t xml:space="preserve">arresting </w:t>
      </w:r>
      <w:r>
        <w:rPr>
          <w:lang w:val="en-US"/>
        </w:rPr>
        <w:t>a</w:t>
      </w:r>
      <w:r w:rsidR="006241B2">
        <w:rPr>
          <w:lang w:val="en-US"/>
        </w:rPr>
        <w:t>nd</w:t>
      </w:r>
      <w:r>
        <w:rPr>
          <w:lang w:val="en-US"/>
        </w:rPr>
        <w:t xml:space="preserve"> transfer</w:t>
      </w:r>
      <w:r w:rsidR="006241B2">
        <w:rPr>
          <w:lang w:val="en-US"/>
        </w:rPr>
        <w:t>ring a person to be interrogated as a suspect</w:t>
      </w:r>
      <w:r>
        <w:rPr>
          <w:lang w:val="en-US"/>
        </w:rPr>
        <w:t xml:space="preserve"> would be disproportionate because the accused person </w:t>
      </w:r>
      <w:r>
        <w:rPr>
          <w:lang w:val="en-US"/>
        </w:rPr>
        <w:lastRenderedPageBreak/>
        <w:t xml:space="preserve">had a right </w:t>
      </w:r>
      <w:r w:rsidR="008C6178">
        <w:rPr>
          <w:lang w:val="en-US"/>
        </w:rPr>
        <w:t>not to make any statement on the charges (privilege against self-incrimination)</w:t>
      </w:r>
      <w:r>
        <w:rPr>
          <w:lang w:val="en-US"/>
        </w:rPr>
        <w:t>.</w:t>
      </w:r>
      <w:r>
        <w:rPr>
          <w:rStyle w:val="Funotenzeichen"/>
          <w:lang w:val="en-US"/>
        </w:rPr>
        <w:footnoteReference w:id="227"/>
      </w:r>
      <w:r w:rsidR="00BA6EEF">
        <w:rPr>
          <w:lang w:val="en-US"/>
        </w:rPr>
        <w:t xml:space="preserve"> This corresponds to the view of the ministries of justice.</w:t>
      </w:r>
      <w:r w:rsidR="00BA6EEF">
        <w:rPr>
          <w:rStyle w:val="Funotenzeichen"/>
          <w:lang w:val="en-US"/>
        </w:rPr>
        <w:footnoteReference w:id="228"/>
      </w:r>
    </w:p>
    <w:p w14:paraId="2092E136" w14:textId="411FC5E6" w:rsidR="00B54B8E" w:rsidRPr="00315754" w:rsidRDefault="006F74B3" w:rsidP="00777A20">
      <w:pPr>
        <w:spacing w:line="360" w:lineRule="auto"/>
        <w:ind w:left="2268"/>
        <w:jc w:val="both"/>
        <w:rPr>
          <w:color w:val="FF0000"/>
          <w:lang w:val="en-US"/>
        </w:rPr>
      </w:pPr>
      <w:r w:rsidRPr="00315754">
        <w:rPr>
          <w:color w:val="FF0000"/>
          <w:lang w:val="en-US"/>
        </w:rPr>
        <w:t>V</w:t>
      </w:r>
      <w:r w:rsidR="00B54B8E" w:rsidRPr="00315754">
        <w:rPr>
          <w:color w:val="FF0000"/>
          <w:lang w:val="en-US"/>
        </w:rPr>
        <w:t>ideoconference</w:t>
      </w:r>
      <w:bookmarkStart w:id="177" w:name="_Hlk142647220"/>
    </w:p>
    <w:p w14:paraId="36ABCFF1" w14:textId="4DE8C753" w:rsidR="00315754" w:rsidRPr="005E585B" w:rsidRDefault="00315754" w:rsidP="00315754">
      <w:pPr>
        <w:spacing w:line="360" w:lineRule="auto"/>
        <w:jc w:val="both"/>
        <w:rPr>
          <w:color w:val="FF0000"/>
          <w:highlight w:val="yellow"/>
          <w:lang w:val="en-US"/>
        </w:rPr>
      </w:pPr>
      <w:r>
        <w:rPr>
          <w:lang w:val="en-US"/>
        </w:rPr>
        <w:t>German law allows for the issuing of a</w:t>
      </w:r>
      <w:r w:rsidR="001C67F0">
        <w:rPr>
          <w:lang w:val="en-US"/>
        </w:rPr>
        <w:t>n</w:t>
      </w:r>
      <w:r>
        <w:rPr>
          <w:lang w:val="en-US"/>
        </w:rPr>
        <w:t xml:space="preserve"> EIO </w:t>
      </w:r>
      <w:r w:rsidRPr="008B00CC">
        <w:rPr>
          <w:lang w:val="en-US"/>
        </w:rPr>
        <w:t>for an interrogation via videoconference.</w:t>
      </w:r>
      <w:r>
        <w:rPr>
          <w:lang w:val="en-US"/>
        </w:rPr>
        <w:t xml:space="preserve"> In practice, however, prosecutors do not use this cooperation instrument; instead, they request for an interrogation by the police or a written statement by the accused person.</w:t>
      </w:r>
      <w:r>
        <w:rPr>
          <w:rStyle w:val="Funotenzeichen"/>
          <w:lang w:val="en-US"/>
        </w:rPr>
        <w:footnoteReference w:id="229"/>
      </w:r>
      <w:r w:rsidR="00BA6EEF">
        <w:rPr>
          <w:lang w:val="en-US"/>
        </w:rPr>
        <w:t xml:space="preserve"> As a matter of principle, this cooperation instrument is available and used for the interrogation of suspects and accused persons.</w:t>
      </w:r>
      <w:r w:rsidR="00BA6EEF">
        <w:rPr>
          <w:rStyle w:val="Funotenzeichen"/>
          <w:lang w:val="en-US"/>
        </w:rPr>
        <w:footnoteReference w:id="230"/>
      </w:r>
    </w:p>
    <w:p w14:paraId="6D4EA06F" w14:textId="77777777" w:rsidR="00315754" w:rsidRPr="00315754" w:rsidRDefault="00315754" w:rsidP="00315754">
      <w:pPr>
        <w:spacing w:line="360" w:lineRule="auto"/>
        <w:jc w:val="both"/>
        <w:rPr>
          <w:color w:val="FF0000"/>
          <w:highlight w:val="yellow"/>
          <w:lang w:val="en-US"/>
        </w:rPr>
      </w:pPr>
    </w:p>
    <w:p w14:paraId="3DD68F49" w14:textId="77777777" w:rsidR="00B54B8E" w:rsidRPr="00353C2A" w:rsidRDefault="00B54B8E" w:rsidP="00777A20">
      <w:pPr>
        <w:numPr>
          <w:ilvl w:val="0"/>
          <w:numId w:val="33"/>
        </w:numPr>
        <w:spacing w:line="360" w:lineRule="auto"/>
        <w:ind w:left="2410" w:hanging="142"/>
        <w:jc w:val="both"/>
        <w:rPr>
          <w:color w:val="FF0000"/>
          <w:lang w:val="en-GB"/>
        </w:rPr>
      </w:pPr>
      <w:r w:rsidRPr="00353C2A">
        <w:rPr>
          <w:lang w:val="en-GB"/>
        </w:rPr>
        <w:t>EU Convention on Mutual Assistance</w:t>
      </w:r>
    </w:p>
    <w:p w14:paraId="6B43C5F9" w14:textId="77777777" w:rsidR="00B54B8E" w:rsidRDefault="00B54B8E" w:rsidP="00777A20">
      <w:pPr>
        <w:spacing w:line="360" w:lineRule="auto"/>
        <w:ind w:left="2268"/>
        <w:jc w:val="both"/>
        <w:rPr>
          <w:color w:val="FF0000"/>
          <w:lang w:val="en-GB"/>
        </w:rPr>
      </w:pPr>
      <w:r w:rsidRPr="00353C2A">
        <w:rPr>
          <w:color w:val="FF0000"/>
          <w:lang w:val="en-GB"/>
        </w:rPr>
        <w:t>Summoning him, e.g., to an interrogation while he’s abroad (sending/service documents)</w:t>
      </w:r>
    </w:p>
    <w:p w14:paraId="7D9A9E84" w14:textId="4DBDAAC4" w:rsidR="00315754" w:rsidRPr="005E585B" w:rsidRDefault="00315754" w:rsidP="00315754">
      <w:pPr>
        <w:spacing w:line="360" w:lineRule="auto"/>
        <w:jc w:val="both"/>
        <w:rPr>
          <w:color w:val="FF0000"/>
          <w:highlight w:val="yellow"/>
          <w:lang w:val="en-US"/>
        </w:rPr>
      </w:pPr>
      <w:r w:rsidRPr="00E12221">
        <w:rPr>
          <w:lang w:val="en-US"/>
        </w:rPr>
        <w:t>Serving a summons to the accused person is not subject to a particular threshold, either. Again, prosecutors do not use this cooperation instrument; instead, they request for an interrogation by the police or a written statement by the accused person.</w:t>
      </w:r>
      <w:r w:rsidRPr="00E12221">
        <w:rPr>
          <w:rStyle w:val="Funotenzeichen"/>
          <w:lang w:val="en-US"/>
        </w:rPr>
        <w:footnoteReference w:id="231"/>
      </w:r>
      <w:r w:rsidR="00BA6EEF">
        <w:rPr>
          <w:lang w:val="en-US"/>
        </w:rPr>
        <w:t xml:space="preserve"> </w:t>
      </w:r>
    </w:p>
    <w:p w14:paraId="775363F8" w14:textId="77777777" w:rsidR="00315754" w:rsidRPr="00315754" w:rsidRDefault="00315754" w:rsidP="00315754">
      <w:pPr>
        <w:spacing w:line="360" w:lineRule="auto"/>
        <w:jc w:val="both"/>
        <w:rPr>
          <w:color w:val="FF0000"/>
          <w:highlight w:val="yellow"/>
          <w:lang w:val="en-US"/>
        </w:rPr>
      </w:pPr>
    </w:p>
    <w:p w14:paraId="220ED539" w14:textId="77777777" w:rsidR="00B54B8E" w:rsidRPr="000C50DF" w:rsidRDefault="00B54B8E" w:rsidP="00777A20">
      <w:pPr>
        <w:pStyle w:val="Listenabsatz"/>
        <w:numPr>
          <w:ilvl w:val="0"/>
          <w:numId w:val="33"/>
        </w:numPr>
        <w:spacing w:line="360" w:lineRule="auto"/>
        <w:ind w:left="2410" w:hanging="142"/>
        <w:jc w:val="both"/>
        <w:rPr>
          <w:lang w:val="en-GB"/>
        </w:rPr>
      </w:pPr>
      <w:r w:rsidRPr="000C50DF">
        <w:rPr>
          <w:lang w:val="en-GB"/>
        </w:rPr>
        <w:t>Convention on Transfer of Proceedings/European Convention on Mutual Assistance in Criminal Matters</w:t>
      </w:r>
    </w:p>
    <w:p w14:paraId="599BAACA" w14:textId="77777777" w:rsidR="00280825" w:rsidRDefault="00B54B8E" w:rsidP="00777A20">
      <w:pPr>
        <w:spacing w:line="360" w:lineRule="auto"/>
        <w:ind w:left="2268"/>
        <w:jc w:val="both"/>
        <w:rPr>
          <w:color w:val="FF0000"/>
          <w:lang w:val="en-GB"/>
        </w:rPr>
      </w:pPr>
      <w:r w:rsidRPr="00353C2A">
        <w:rPr>
          <w:color w:val="FF0000"/>
          <w:lang w:val="en-GB"/>
        </w:rPr>
        <w:t>Transferring the proceedings to that MS.</w:t>
      </w:r>
      <w:r w:rsidR="000C50DF">
        <w:rPr>
          <w:color w:val="FF0000"/>
          <w:lang w:val="en-GB"/>
        </w:rPr>
        <w:t xml:space="preserve"> </w:t>
      </w:r>
      <w:r w:rsidRPr="00353C2A">
        <w:rPr>
          <w:color w:val="FF0000"/>
          <w:lang w:val="en-GB"/>
        </w:rPr>
        <w:t>This is not an instrument that provides for, e.g., interrogating a suspect in another MS for the benefit of the investigatio</w:t>
      </w:r>
      <w:r w:rsidR="000C50DF">
        <w:rPr>
          <w:color w:val="FF0000"/>
          <w:lang w:val="en-GB"/>
        </w:rPr>
        <w:t>n/prosecution in the issuing MS.</w:t>
      </w:r>
      <w:r w:rsidRPr="00353C2A">
        <w:rPr>
          <w:color w:val="FF0000"/>
          <w:lang w:val="en-GB"/>
        </w:rPr>
        <w:t xml:space="preserve"> However, given that the person concerned is present in another MS and his statement is needed, transferring the proceedings to the MS of residence may be an option. </w:t>
      </w:r>
    </w:p>
    <w:p w14:paraId="0C947197" w14:textId="5AC7604B" w:rsidR="00315754" w:rsidRDefault="00315754" w:rsidP="00315754">
      <w:pPr>
        <w:spacing w:line="360" w:lineRule="auto"/>
        <w:jc w:val="both"/>
        <w:rPr>
          <w:lang w:val="en-US"/>
        </w:rPr>
      </w:pPr>
      <w:r>
        <w:rPr>
          <w:lang w:val="en-US"/>
        </w:rPr>
        <w:t>As has been mentioned before (</w:t>
      </w:r>
      <w:r>
        <w:rPr>
          <w:i/>
          <w:lang w:val="en-US"/>
        </w:rPr>
        <w:t xml:space="preserve">supra </w:t>
      </w:r>
      <w:r>
        <w:rPr>
          <w:lang w:val="en-US"/>
        </w:rPr>
        <w:t>2.1.1.), a transfer of criminal proceedings usually requires that the accused person has been given the opportunity to give a statement</w:t>
      </w:r>
      <w:r w:rsidR="0000412B">
        <w:rPr>
          <w:lang w:val="en-US"/>
        </w:rPr>
        <w:t>,</w:t>
      </w:r>
      <w:r>
        <w:rPr>
          <w:rStyle w:val="Funotenzeichen"/>
          <w:lang w:val="en-US"/>
        </w:rPr>
        <w:footnoteReference w:id="232"/>
      </w:r>
      <w:r>
        <w:rPr>
          <w:lang w:val="en-US"/>
        </w:rPr>
        <w:t xml:space="preserve"> </w:t>
      </w:r>
      <w:r w:rsidR="0000412B">
        <w:rPr>
          <w:rFonts w:asciiTheme="majorBidi" w:hAnsiTheme="majorBidi" w:cstheme="majorBidi"/>
          <w:color w:val="000000" w:themeColor="text1"/>
          <w:lang w:val="en-US"/>
        </w:rPr>
        <w:t>a requirement that has also been included in Art. 6(3)</w:t>
      </w:r>
      <w:r w:rsidR="00B12F11">
        <w:rPr>
          <w:rFonts w:asciiTheme="majorBidi" w:hAnsiTheme="majorBidi" w:cstheme="majorBidi"/>
          <w:color w:val="000000" w:themeColor="text1"/>
          <w:lang w:val="en-US"/>
        </w:rPr>
        <w:t xml:space="preserve"> lit. </w:t>
      </w:r>
      <w:r w:rsidR="0000412B">
        <w:rPr>
          <w:rFonts w:asciiTheme="majorBidi" w:hAnsiTheme="majorBidi" w:cstheme="majorBidi"/>
          <w:color w:val="000000" w:themeColor="text1"/>
          <w:lang w:val="en-US"/>
        </w:rPr>
        <w:t xml:space="preserve">b of </w:t>
      </w:r>
      <w:r w:rsidR="00B67362">
        <w:rPr>
          <w:lang w:val="en-US"/>
        </w:rPr>
        <w:t>Regulation (EU) 2024/3011 on the transfer of proceedings in criminal matters</w:t>
      </w:r>
      <w:r w:rsidR="0000412B" w:rsidRPr="00A87040">
        <w:rPr>
          <w:rFonts w:asciiTheme="majorBidi" w:hAnsiTheme="majorBidi" w:cstheme="majorBidi"/>
          <w:color w:val="000000" w:themeColor="text1"/>
          <w:lang w:val="en-US"/>
        </w:rPr>
        <w:t>.</w:t>
      </w:r>
      <w:r w:rsidR="00694444">
        <w:rPr>
          <w:rFonts w:asciiTheme="majorBidi" w:hAnsiTheme="majorBidi" w:cstheme="majorBidi"/>
          <w:color w:val="000000" w:themeColor="text1"/>
          <w:lang w:val="en-US"/>
        </w:rPr>
        <w:t xml:space="preserve"> </w:t>
      </w:r>
      <w:r>
        <w:rPr>
          <w:lang w:val="en-US"/>
        </w:rPr>
        <w:t>So, a transfer of proceedings is not an alternative to the interrogation of the accused person.</w:t>
      </w:r>
    </w:p>
    <w:p w14:paraId="2E16B79C" w14:textId="7AF97BB7" w:rsidR="00B54B8E" w:rsidRPr="00BC5ED2" w:rsidRDefault="00B54B8E" w:rsidP="00315754">
      <w:pPr>
        <w:spacing w:line="360" w:lineRule="auto"/>
        <w:jc w:val="both"/>
        <w:rPr>
          <w:lang w:val="en-US"/>
        </w:rPr>
      </w:pPr>
    </w:p>
    <w:bookmarkEnd w:id="177"/>
    <w:p w14:paraId="388EB596" w14:textId="77777777" w:rsidR="00B54B8E" w:rsidRPr="00353C2A" w:rsidRDefault="00B54B8E" w:rsidP="00777A20">
      <w:pPr>
        <w:spacing w:line="360" w:lineRule="auto"/>
        <w:ind w:left="1843" w:firstLine="6"/>
        <w:jc w:val="both"/>
        <w:rPr>
          <w:lang w:val="en-GB"/>
        </w:rPr>
      </w:pPr>
      <w:r w:rsidRPr="00353C2A">
        <w:rPr>
          <w:lang w:val="en-GB"/>
        </w:rPr>
        <w:t>(bb) Ensuring that the suspect is available</w:t>
      </w:r>
    </w:p>
    <w:p w14:paraId="55D91422" w14:textId="77777777" w:rsidR="00B54B8E" w:rsidRPr="000C50DF" w:rsidRDefault="00B54B8E" w:rsidP="00777A20">
      <w:pPr>
        <w:pStyle w:val="Listenabsatz"/>
        <w:numPr>
          <w:ilvl w:val="0"/>
          <w:numId w:val="33"/>
        </w:numPr>
        <w:spacing w:line="360" w:lineRule="auto"/>
        <w:ind w:left="2410" w:hanging="142"/>
        <w:jc w:val="both"/>
        <w:rPr>
          <w:lang w:val="en-GB"/>
        </w:rPr>
      </w:pPr>
      <w:r w:rsidRPr="000C50DF">
        <w:rPr>
          <w:lang w:val="en-GB"/>
        </w:rPr>
        <w:t>FD 2002/584/JHA</w:t>
      </w:r>
    </w:p>
    <w:p w14:paraId="03E631A0" w14:textId="77777777" w:rsidR="00B54B8E" w:rsidRDefault="00B54B8E" w:rsidP="00777A20">
      <w:pPr>
        <w:spacing w:line="360" w:lineRule="auto"/>
        <w:ind w:left="2268"/>
        <w:jc w:val="both"/>
        <w:rPr>
          <w:color w:val="FF0000"/>
          <w:lang w:val="en-GB"/>
        </w:rPr>
      </w:pPr>
      <w:r w:rsidRPr="00353C2A">
        <w:rPr>
          <w:color w:val="FF0000"/>
          <w:lang w:val="en-GB"/>
        </w:rPr>
        <w:t>Prosecution-EAW</w:t>
      </w:r>
    </w:p>
    <w:p w14:paraId="1180C223" w14:textId="77777777" w:rsidR="008B0E5B" w:rsidRDefault="00315754" w:rsidP="00315754">
      <w:pPr>
        <w:spacing w:line="360" w:lineRule="auto"/>
        <w:jc w:val="both"/>
        <w:rPr>
          <w:lang w:val="en-US"/>
        </w:rPr>
      </w:pPr>
      <w:r>
        <w:rPr>
          <w:lang w:val="en-US"/>
        </w:rPr>
        <w:t>A</w:t>
      </w:r>
      <w:r w:rsidR="00127DD2">
        <w:rPr>
          <w:lang w:val="en-US"/>
        </w:rPr>
        <w:t>n</w:t>
      </w:r>
      <w:r>
        <w:rPr>
          <w:lang w:val="en-US"/>
        </w:rPr>
        <w:t xml:space="preserve"> EAW may only be issued on the basis of a domestic arrest warrant that requires strong suspicion and </w:t>
      </w:r>
      <w:r w:rsidRPr="0033147B">
        <w:rPr>
          <w:lang w:val="en-GB"/>
        </w:rPr>
        <w:t>a ground for arrest</w:t>
      </w:r>
      <w:r w:rsidRPr="00344085">
        <w:rPr>
          <w:lang w:val="en-US"/>
        </w:rPr>
        <w:t xml:space="preserve"> (e.g. risk of flight or tampering with evidence, section 112 CCP).</w:t>
      </w:r>
      <w:r>
        <w:rPr>
          <w:lang w:val="en-US"/>
        </w:rPr>
        <w:t xml:space="preserve"> Moreover, the decision to issue a</w:t>
      </w:r>
      <w:r w:rsidR="00127DD2">
        <w:rPr>
          <w:lang w:val="en-US"/>
        </w:rPr>
        <w:t>n</w:t>
      </w:r>
      <w:r>
        <w:rPr>
          <w:lang w:val="en-US"/>
        </w:rPr>
        <w:t xml:space="preserve"> EAW must comply with the proportionality principle.</w:t>
      </w:r>
    </w:p>
    <w:p w14:paraId="0A51573A" w14:textId="7EBBEB0A" w:rsidR="00F451FF" w:rsidRDefault="008B0E5B" w:rsidP="00315754">
      <w:pPr>
        <w:spacing w:line="360" w:lineRule="auto"/>
        <w:jc w:val="both"/>
        <w:rPr>
          <w:lang w:val="en-US"/>
        </w:rPr>
      </w:pPr>
      <w:r w:rsidRPr="008B0E5B">
        <w:t>If there are major proportionality concerns, the courts will not issue a national arrest warrant which is a pre-condition for the EAW.</w:t>
      </w:r>
      <w:r>
        <w:rPr>
          <w:lang w:val="en-US"/>
        </w:rPr>
        <w:t xml:space="preserve"> </w:t>
      </w:r>
      <w:r w:rsidR="005E0ACB">
        <w:rPr>
          <w:lang w:val="en-US"/>
        </w:rPr>
        <w:t>Wherever possible, the issuing authority shall have recourse to l</w:t>
      </w:r>
      <w:r w:rsidR="00F451FF" w:rsidRPr="00E97588">
        <w:t xml:space="preserve">ess intrusive alternatives </w:t>
      </w:r>
      <w:r w:rsidR="00F451FF">
        <w:t>that are equally suitable for achieving the intended purpose</w:t>
      </w:r>
      <w:r w:rsidR="00F451FF" w:rsidRPr="00E97588">
        <w:t>.</w:t>
      </w:r>
    </w:p>
    <w:p w14:paraId="783360E9" w14:textId="4CE1B7B4" w:rsidR="00315754" w:rsidRPr="00315754" w:rsidRDefault="001C5FA0" w:rsidP="00315754">
      <w:pPr>
        <w:spacing w:line="360" w:lineRule="auto"/>
        <w:jc w:val="both"/>
        <w:rPr>
          <w:color w:val="FF0000"/>
          <w:highlight w:val="yellow"/>
          <w:lang w:val="en-US"/>
        </w:rPr>
      </w:pPr>
      <w:r>
        <w:rPr>
          <w:lang w:val="en-US"/>
        </w:rPr>
        <w:t xml:space="preserve">In the proportionality assessment, the duration of surrender proceedings, the detention conditions in the executing Member State, but also the personal and financial resources (costs) must be taken into account (No. 88, 149 GICCM). </w:t>
      </w:r>
      <w:r w:rsidR="00315754">
        <w:rPr>
          <w:lang w:val="en-US"/>
        </w:rPr>
        <w:t xml:space="preserve">According to public prosecutors, </w:t>
      </w:r>
      <w:r w:rsidR="003D22FC">
        <w:rPr>
          <w:lang w:val="en-US"/>
        </w:rPr>
        <w:t>a</w:t>
      </w:r>
      <w:r w:rsidR="00127DD2">
        <w:rPr>
          <w:lang w:val="en-US"/>
        </w:rPr>
        <w:t>n</w:t>
      </w:r>
      <w:r w:rsidR="003D22FC">
        <w:rPr>
          <w:lang w:val="en-US"/>
        </w:rPr>
        <w:t xml:space="preserve"> EAW is not issued unless the expected sentence is imprisonment of less than two years.</w:t>
      </w:r>
      <w:r w:rsidR="003D22FC">
        <w:rPr>
          <w:rStyle w:val="Funotenzeichen"/>
          <w:lang w:val="en-US"/>
        </w:rPr>
        <w:footnoteReference w:id="233"/>
      </w:r>
      <w:r w:rsidR="00625F74">
        <w:rPr>
          <w:lang w:val="en-US"/>
        </w:rPr>
        <w:t xml:space="preserve"> </w:t>
      </w:r>
    </w:p>
    <w:p w14:paraId="1E0A4372" w14:textId="66FB560C" w:rsidR="00280825" w:rsidRPr="00BC5ED2" w:rsidRDefault="00280825" w:rsidP="00315754">
      <w:pPr>
        <w:spacing w:line="360" w:lineRule="auto"/>
        <w:jc w:val="both"/>
        <w:rPr>
          <w:lang w:val="en-US"/>
        </w:rPr>
      </w:pPr>
    </w:p>
    <w:p w14:paraId="310A6F5D" w14:textId="3AEBD303" w:rsidR="00B54B8E" w:rsidRPr="000C50DF" w:rsidRDefault="00B54B8E" w:rsidP="00777A20">
      <w:pPr>
        <w:pStyle w:val="Listenabsatz"/>
        <w:numPr>
          <w:ilvl w:val="0"/>
          <w:numId w:val="33"/>
        </w:numPr>
        <w:spacing w:line="360" w:lineRule="auto"/>
        <w:ind w:left="2410" w:hanging="142"/>
        <w:jc w:val="both"/>
        <w:rPr>
          <w:lang w:val="en-GB"/>
        </w:rPr>
      </w:pPr>
      <w:r w:rsidRPr="000C50DF">
        <w:rPr>
          <w:lang w:val="en-GB"/>
        </w:rPr>
        <w:t>FD 200</w:t>
      </w:r>
      <w:r w:rsidR="00974BAD">
        <w:rPr>
          <w:lang w:val="en-GB"/>
        </w:rPr>
        <w:t>9</w:t>
      </w:r>
      <w:r w:rsidRPr="000C50DF">
        <w:rPr>
          <w:lang w:val="en-GB"/>
        </w:rPr>
        <w:t xml:space="preserve">/829/JHA </w:t>
      </w:r>
      <w:r w:rsidRPr="000C50DF">
        <w:rPr>
          <w:color w:val="FF0000"/>
          <w:lang w:val="en-GB"/>
        </w:rPr>
        <w:t>(?)</w:t>
      </w:r>
    </w:p>
    <w:p w14:paraId="785F0B03" w14:textId="77777777" w:rsidR="00B54B8E" w:rsidRDefault="00B54B8E" w:rsidP="00777A20">
      <w:pPr>
        <w:spacing w:line="360" w:lineRule="auto"/>
        <w:ind w:left="2268"/>
        <w:jc w:val="both"/>
        <w:rPr>
          <w:color w:val="FF0000"/>
          <w:lang w:val="en-GB"/>
        </w:rPr>
      </w:pPr>
      <w:r w:rsidRPr="00353C2A">
        <w:rPr>
          <w:color w:val="FF0000"/>
          <w:lang w:val="en-GB"/>
        </w:rPr>
        <w:t xml:space="preserve">ESO possible </w:t>
      </w:r>
      <w:r w:rsidRPr="00353C2A">
        <w:rPr>
          <w:color w:val="FF0000"/>
          <w:u w:val="single"/>
          <w:lang w:val="en-GB"/>
        </w:rPr>
        <w:t>under national law</w:t>
      </w:r>
      <w:r w:rsidRPr="00353C2A">
        <w:rPr>
          <w:color w:val="FF0000"/>
          <w:lang w:val="en-GB"/>
        </w:rPr>
        <w:t>?</w:t>
      </w:r>
    </w:p>
    <w:p w14:paraId="5320F881" w14:textId="1B6E725F" w:rsidR="003D22FC" w:rsidRDefault="003D22FC" w:rsidP="003D22FC">
      <w:pPr>
        <w:spacing w:line="360" w:lineRule="auto"/>
        <w:jc w:val="both"/>
        <w:rPr>
          <w:lang w:val="en-US"/>
        </w:rPr>
      </w:pPr>
      <w:r w:rsidRPr="003D22FC">
        <w:rPr>
          <w:lang w:val="en-US"/>
        </w:rPr>
        <w:t>As has been mentioned before (</w:t>
      </w:r>
      <w:r w:rsidRPr="003D22FC">
        <w:rPr>
          <w:i/>
          <w:lang w:val="en-US"/>
        </w:rPr>
        <w:t xml:space="preserve">supra </w:t>
      </w:r>
      <w:r w:rsidRPr="003D22FC">
        <w:rPr>
          <w:lang w:val="en-US"/>
        </w:rPr>
        <w:t>2.1.1.), the scope of FD 2009/829/JHA does not cover the scenario that a</w:t>
      </w:r>
      <w:r w:rsidR="001C67F0">
        <w:rPr>
          <w:lang w:val="en-US"/>
        </w:rPr>
        <w:t>n</w:t>
      </w:r>
      <w:r w:rsidRPr="003D22FC">
        <w:rPr>
          <w:lang w:val="en-US"/>
        </w:rPr>
        <w:t xml:space="preserve"> ESO is issued if the person concerned has already left the issuing Member State (Germany) and has returned to his home country.</w:t>
      </w:r>
      <w:r w:rsidRPr="003D22FC">
        <w:rPr>
          <w:vertAlign w:val="superscript"/>
          <w:lang w:val="en-US"/>
        </w:rPr>
        <w:footnoteReference w:id="234"/>
      </w:r>
      <w:r w:rsidRPr="003D22FC">
        <w:rPr>
          <w:lang w:val="en-US"/>
        </w:rPr>
        <w:t xml:space="preserve"> The limited scope of the Framework Decision notwithstanding, EU law does not preclude the Member States from a transposition into domestic law that allows for the issuing of a</w:t>
      </w:r>
      <w:r w:rsidR="001C67F0">
        <w:rPr>
          <w:lang w:val="en-US"/>
        </w:rPr>
        <w:t>n</w:t>
      </w:r>
      <w:r w:rsidRPr="003D22FC">
        <w:rPr>
          <w:lang w:val="en-US"/>
        </w:rPr>
        <w:t xml:space="preserve"> ESO where the suspect has already returned to another Member State (i.e. the executing Member State). If a</w:t>
      </w:r>
      <w:r w:rsidR="001C67F0">
        <w:rPr>
          <w:lang w:val="en-US"/>
        </w:rPr>
        <w:t>n</w:t>
      </w:r>
      <w:r w:rsidRPr="003D22FC">
        <w:rPr>
          <w:lang w:val="en-US"/>
        </w:rPr>
        <w:t xml:space="preserve"> ESO could not be issued, the remaining option would be to issue a</w:t>
      </w:r>
      <w:r w:rsidR="00127DD2">
        <w:rPr>
          <w:lang w:val="en-US"/>
        </w:rPr>
        <w:t>n</w:t>
      </w:r>
      <w:r w:rsidRPr="003D22FC">
        <w:rPr>
          <w:lang w:val="en-US"/>
        </w:rPr>
        <w:t xml:space="preserve"> EAW, and this would be disproportionate where the same purpose could be achieved by a less severe means (the ESO). Therefore, the German legislator extended the scope of section 90y AICCM to cases where the accused person has already returned to another Member State (section 90y(1) No. 3 AICCM).</w:t>
      </w:r>
      <w:r w:rsidRPr="003D22FC">
        <w:rPr>
          <w:vertAlign w:val="superscript"/>
          <w:lang w:val="en-US"/>
        </w:rPr>
        <w:footnoteReference w:id="235"/>
      </w:r>
      <w:r w:rsidRPr="003D22FC">
        <w:rPr>
          <w:lang w:val="en-US"/>
        </w:rPr>
        <w:t xml:space="preserve"> Due to the limited </w:t>
      </w:r>
      <w:r w:rsidRPr="003D22FC">
        <w:rPr>
          <w:lang w:val="en-US"/>
        </w:rPr>
        <w:lastRenderedPageBreak/>
        <w:t>scope of FD 2009/829/JHA, however, the executing Member State is not obliged to recognize and monitor the supervision measures.</w:t>
      </w:r>
      <w:r w:rsidRPr="003D22FC">
        <w:rPr>
          <w:vertAlign w:val="superscript"/>
          <w:lang w:val="en-US"/>
        </w:rPr>
        <w:footnoteReference w:id="236"/>
      </w:r>
    </w:p>
    <w:p w14:paraId="05C338EA" w14:textId="17A45613" w:rsidR="00E805C3" w:rsidRDefault="00E805C3" w:rsidP="003D22FC">
      <w:pPr>
        <w:spacing w:line="360" w:lineRule="auto"/>
        <w:jc w:val="both"/>
        <w:rPr>
          <w:lang w:val="en-US"/>
        </w:rPr>
      </w:pPr>
      <w:r>
        <w:rPr>
          <w:lang w:val="en-US"/>
        </w:rPr>
        <w:t>If the defendant has already left the issuing MS and has returned to his home MS, a</w:t>
      </w:r>
      <w:r w:rsidR="001C67F0">
        <w:rPr>
          <w:lang w:val="en-US"/>
        </w:rPr>
        <w:t>n</w:t>
      </w:r>
      <w:r>
        <w:rPr>
          <w:lang w:val="en-US"/>
        </w:rPr>
        <w:t xml:space="preserve"> ESO can be issued without the consen</w:t>
      </w:r>
      <w:r w:rsidR="008C5E90">
        <w:rPr>
          <w:lang w:val="en-US"/>
        </w:rPr>
        <w:t>t of the defendant (section 90y(</w:t>
      </w:r>
      <w:r>
        <w:rPr>
          <w:lang w:val="en-US"/>
        </w:rPr>
        <w:t>1) No. 3 AICCM).</w:t>
      </w:r>
      <w:r>
        <w:rPr>
          <w:rStyle w:val="Funotenzeichen"/>
          <w:lang w:val="en-US"/>
        </w:rPr>
        <w:footnoteReference w:id="237"/>
      </w:r>
      <w:r>
        <w:rPr>
          <w:lang w:val="en-US"/>
        </w:rPr>
        <w:t xml:space="preserve"> The decision </w:t>
      </w:r>
      <w:r w:rsidR="000C2781">
        <w:rPr>
          <w:lang w:val="en-US"/>
        </w:rPr>
        <w:t>to issue a</w:t>
      </w:r>
      <w:r w:rsidR="001C67F0">
        <w:rPr>
          <w:lang w:val="en-US"/>
        </w:rPr>
        <w:t>n</w:t>
      </w:r>
      <w:r w:rsidR="000C2781">
        <w:rPr>
          <w:lang w:val="en-US"/>
        </w:rPr>
        <w:t xml:space="preserve"> ESO is at the discretion of the competent judge (‘may’); </w:t>
      </w:r>
      <w:r>
        <w:rPr>
          <w:lang w:val="en-US"/>
        </w:rPr>
        <w:t xml:space="preserve">the considerations on scenario (a) apply accordingly. </w:t>
      </w:r>
      <w:r w:rsidR="000C2781">
        <w:rPr>
          <w:lang w:val="en-US"/>
        </w:rPr>
        <w:t>If the executing MS refuses to monitor the supervision measures, the issuing judge may revoke the suspension of the enforcement of the arrest warrant (section 116(4) No. 3 CCP).</w:t>
      </w:r>
      <w:r w:rsidR="000C2781">
        <w:rPr>
          <w:rStyle w:val="Funotenzeichen"/>
          <w:lang w:val="en-US"/>
        </w:rPr>
        <w:footnoteReference w:id="238"/>
      </w:r>
    </w:p>
    <w:p w14:paraId="2899D77B" w14:textId="3E954BA7" w:rsidR="00494039" w:rsidRDefault="008C5E90" w:rsidP="003D22FC">
      <w:pPr>
        <w:spacing w:line="360" w:lineRule="auto"/>
        <w:jc w:val="both"/>
        <w:rPr>
          <w:lang w:val="en-US"/>
        </w:rPr>
      </w:pPr>
      <w:r>
        <w:rPr>
          <w:lang w:val="en-US"/>
        </w:rPr>
        <w:t>According to defence counsels, the fact that the accused person returned to his home country cannot be equated to flight and, thereby, establish a ground for detention</w:t>
      </w:r>
      <w:r w:rsidR="00BF2827">
        <w:rPr>
          <w:lang w:val="en-US"/>
        </w:rPr>
        <w:t>; in other words, an arrest warrant cannot be based upon the fact that the defendant has not assured to appear before court.</w:t>
      </w:r>
      <w:r w:rsidR="00BF2827">
        <w:rPr>
          <w:rStyle w:val="Funotenzeichen"/>
          <w:lang w:val="en-US"/>
        </w:rPr>
        <w:footnoteReference w:id="239"/>
      </w:r>
      <w:r>
        <w:rPr>
          <w:lang w:val="en-US"/>
        </w:rPr>
        <w:t xml:space="preserve"> </w:t>
      </w:r>
      <w:r w:rsidR="00BF2827">
        <w:rPr>
          <w:lang w:val="en-US"/>
        </w:rPr>
        <w:t xml:space="preserve">Even where the executing authority executes a German EAW without keeping the accused person in detention (Art. 12 FD EAW), the enforcement of the arrest warrant is not suspended after the accused person has been surrendered </w:t>
      </w:r>
      <w:r w:rsidR="00DF47B9">
        <w:rPr>
          <w:lang w:val="en-US"/>
        </w:rPr>
        <w:t>to the German authorities; instead, the person is detained while the investigation is completed. According to a defence lawyer, it would have been less intrusive to question the accused person (e.g. by videoconference) and to prepare the indictment while the accused person is released on bail in the executing Member State.</w:t>
      </w:r>
      <w:r w:rsidR="00DF47B9">
        <w:rPr>
          <w:rStyle w:val="Funotenzeichen"/>
          <w:lang w:val="en-US"/>
        </w:rPr>
        <w:footnoteReference w:id="240"/>
      </w:r>
      <w:r w:rsidR="00DF47B9">
        <w:rPr>
          <w:lang w:val="en-US"/>
        </w:rPr>
        <w:t xml:space="preserve"> </w:t>
      </w:r>
      <w:r w:rsidR="00722909">
        <w:rPr>
          <w:lang w:val="en-US"/>
        </w:rPr>
        <w:t xml:space="preserve"> </w:t>
      </w:r>
      <w:r w:rsidR="00F97421">
        <w:rPr>
          <w:lang w:val="en-US"/>
        </w:rPr>
        <w:t>Finally, a defence lawyer criticized that German courts do not use the option of an oral hearing of the arrested person by videoconference (section 118a(2)2 CCP) in cross-border cases, i.e. when a (German) EAW has been executed by another Member State.</w:t>
      </w:r>
      <w:r w:rsidR="004817AE">
        <w:rPr>
          <w:rStyle w:val="Funotenzeichen"/>
          <w:lang w:val="en-US"/>
        </w:rPr>
        <w:footnoteReference w:id="241"/>
      </w:r>
      <w:r w:rsidR="00F97421">
        <w:rPr>
          <w:lang w:val="en-US"/>
        </w:rPr>
        <w:t xml:space="preserve"> Art. 6 of the Digitalisation Regulation</w:t>
      </w:r>
      <w:r w:rsidR="00F97421">
        <w:rPr>
          <w:rStyle w:val="Funotenzeichen"/>
          <w:lang w:val="en-US"/>
        </w:rPr>
        <w:footnoteReference w:id="242"/>
      </w:r>
      <w:r w:rsidR="00F97421">
        <w:rPr>
          <w:lang w:val="en-US"/>
        </w:rPr>
        <w:t xml:space="preserve"> expressly provides for this option</w:t>
      </w:r>
      <w:r w:rsidR="00B153F5">
        <w:t xml:space="preserve">, nevertheless its effects on the </w:t>
      </w:r>
      <w:r w:rsidR="001E23E0">
        <w:t>digitali</w:t>
      </w:r>
      <w:r w:rsidR="005A3481">
        <w:t>s</w:t>
      </w:r>
      <w:r w:rsidR="001E23E0">
        <w:t>ation of judicial cooperation depend on the technical implementation of the necessary IT infrastructure.</w:t>
      </w:r>
      <w:r w:rsidR="001E23E0">
        <w:rPr>
          <w:rStyle w:val="Funotenzeichen"/>
        </w:rPr>
        <w:footnoteReference w:id="243"/>
      </w:r>
      <w:r w:rsidR="00722909">
        <w:rPr>
          <w:lang w:val="en-US"/>
        </w:rPr>
        <w:t xml:space="preserve"> </w:t>
      </w:r>
      <w:r w:rsidR="0012545C">
        <w:rPr>
          <w:lang w:val="en-US"/>
        </w:rPr>
        <w:t>According to Art. 12 of Directive (EU) 2023/2843</w:t>
      </w:r>
      <w:r w:rsidR="008C6178">
        <w:rPr>
          <w:lang w:val="en-US"/>
        </w:rPr>
        <w:t>,</w:t>
      </w:r>
      <w:r w:rsidR="0012545C">
        <w:rPr>
          <w:lang w:val="en-US"/>
        </w:rPr>
        <w:t xml:space="preserve"> the decentralized IT </w:t>
      </w:r>
      <w:r w:rsidR="0012545C">
        <w:rPr>
          <w:lang w:val="en-US"/>
        </w:rPr>
        <w:lastRenderedPageBreak/>
        <w:t>system is to be set up within two years, calculated from the entry into force of the implementing acts on the technical requirements of the systems (the 17</w:t>
      </w:r>
      <w:r w:rsidR="0012545C" w:rsidRPr="0025634F">
        <w:rPr>
          <w:vertAlign w:val="superscript"/>
          <w:lang w:val="en-US"/>
        </w:rPr>
        <w:t>th</w:t>
      </w:r>
      <w:r w:rsidR="0012545C">
        <w:rPr>
          <w:lang w:val="en-US"/>
        </w:rPr>
        <w:t xml:space="preserve"> of January 2026</w:t>
      </w:r>
      <w:r w:rsidR="00494039" w:rsidRPr="00494039">
        <w:rPr>
          <w:lang w:val="en-US"/>
        </w:rPr>
        <w:t xml:space="preserve"> </w:t>
      </w:r>
      <w:r w:rsidR="00494039">
        <w:rPr>
          <w:lang w:val="en-US"/>
        </w:rPr>
        <w:t>for FD 2002/584/JHA</w:t>
      </w:r>
      <w:r w:rsidR="0012545C">
        <w:rPr>
          <w:lang w:val="en-US"/>
        </w:rPr>
        <w:t>, Art. 10(3)</w:t>
      </w:r>
      <w:r w:rsidR="00124557">
        <w:rPr>
          <w:lang w:val="en-US"/>
        </w:rPr>
        <w:t xml:space="preserve"> lit. </w:t>
      </w:r>
      <w:r w:rsidR="0012545C">
        <w:rPr>
          <w:lang w:val="en-US"/>
        </w:rPr>
        <w:t xml:space="preserve">a </w:t>
      </w:r>
      <w:r w:rsidR="00494039">
        <w:rPr>
          <w:lang w:val="en-US"/>
        </w:rPr>
        <w:t xml:space="preserve">of Regulation 2023/2844). As a result, the impact of the regulation on video conferencing will not become apparent until spring 2028 at the earliest. </w:t>
      </w:r>
    </w:p>
    <w:p w14:paraId="4C65E2FA" w14:textId="7EE815D0" w:rsidR="008C5E90" w:rsidRDefault="00722909" w:rsidP="003D22FC">
      <w:pPr>
        <w:spacing w:line="360" w:lineRule="auto"/>
        <w:jc w:val="both"/>
        <w:rPr>
          <w:lang w:val="en-US"/>
        </w:rPr>
      </w:pPr>
      <w:r>
        <w:rPr>
          <w:lang w:val="en-US"/>
        </w:rPr>
        <w:t xml:space="preserve">However, the existing provision </w:t>
      </w:r>
      <w:r w:rsidR="00980FE0">
        <w:rPr>
          <w:lang w:val="en-US"/>
        </w:rPr>
        <w:t xml:space="preserve">in German law </w:t>
      </w:r>
      <w:r>
        <w:rPr>
          <w:lang w:val="en-US"/>
        </w:rPr>
        <w:t xml:space="preserve">is </w:t>
      </w:r>
      <w:r w:rsidR="00BA6EEF">
        <w:rPr>
          <w:lang w:val="en-US"/>
        </w:rPr>
        <w:t>hardly</w:t>
      </w:r>
      <w:r>
        <w:rPr>
          <w:lang w:val="en-US"/>
        </w:rPr>
        <w:t xml:space="preserve"> used in court practice</w:t>
      </w:r>
      <w:r w:rsidR="00980FE0">
        <w:rPr>
          <w:lang w:val="en-US"/>
        </w:rPr>
        <w:t>.</w:t>
      </w:r>
      <w:r w:rsidR="00980FE0">
        <w:rPr>
          <w:rStyle w:val="Funotenzeichen"/>
          <w:lang w:val="en-US"/>
        </w:rPr>
        <w:footnoteReference w:id="244"/>
      </w:r>
      <w:r w:rsidR="00F913D2">
        <w:rPr>
          <w:lang w:val="en-US"/>
        </w:rPr>
        <w:t xml:space="preserve"> As a consequence, the issuing authority will not take a decision to suspend the execution of the arrest warrant before the executing authority has been surrendered the requested person, which renders the cooperation instrument ineffectual in court practice.</w:t>
      </w:r>
      <w:r w:rsidR="00F913D2">
        <w:rPr>
          <w:rStyle w:val="Funotenzeichen"/>
          <w:lang w:val="en-US"/>
        </w:rPr>
        <w:footnoteReference w:id="245"/>
      </w:r>
    </w:p>
    <w:p w14:paraId="5F7E75BB" w14:textId="77777777" w:rsidR="00F16FD5" w:rsidRPr="00BF2827" w:rsidRDefault="00F16FD5" w:rsidP="003D22FC">
      <w:pPr>
        <w:spacing w:line="360" w:lineRule="auto"/>
        <w:jc w:val="both"/>
        <w:rPr>
          <w:color w:val="FF0000"/>
          <w:highlight w:val="yellow"/>
          <w:lang w:val="en-US"/>
        </w:rPr>
      </w:pPr>
    </w:p>
    <w:p w14:paraId="71367630" w14:textId="77777777" w:rsidR="00B54B8E" w:rsidRPr="000C50DF" w:rsidRDefault="00B54B8E" w:rsidP="00777A20">
      <w:pPr>
        <w:numPr>
          <w:ilvl w:val="0"/>
          <w:numId w:val="33"/>
        </w:numPr>
        <w:spacing w:line="360" w:lineRule="auto"/>
        <w:ind w:left="2410" w:hanging="142"/>
        <w:jc w:val="both"/>
        <w:rPr>
          <w:color w:val="FF0000"/>
          <w:lang w:val="fr-FR"/>
        </w:rPr>
      </w:pPr>
      <w:r w:rsidRPr="000C50DF">
        <w:rPr>
          <w:lang w:val="fr-FR"/>
        </w:rPr>
        <w:t>EU Convention on Mutual Assistance</w:t>
      </w:r>
    </w:p>
    <w:p w14:paraId="5160F244" w14:textId="77777777" w:rsidR="00B54B8E" w:rsidRDefault="00B54B8E" w:rsidP="00777A20">
      <w:pPr>
        <w:spacing w:line="360" w:lineRule="auto"/>
        <w:ind w:left="2268"/>
        <w:jc w:val="both"/>
        <w:rPr>
          <w:color w:val="FF0000"/>
          <w:lang w:val="en-GB"/>
        </w:rPr>
      </w:pPr>
      <w:r w:rsidRPr="00353C2A">
        <w:rPr>
          <w:color w:val="FF0000"/>
          <w:lang w:val="en-GB"/>
        </w:rPr>
        <w:t>Keeping in touch with him while he’s abroad (sending/service documents)</w:t>
      </w:r>
    </w:p>
    <w:p w14:paraId="5F393128" w14:textId="1B8AEB5B" w:rsidR="003D22FC" w:rsidRDefault="003D22FC" w:rsidP="006456FD">
      <w:pPr>
        <w:spacing w:line="360" w:lineRule="auto"/>
        <w:jc w:val="both"/>
        <w:rPr>
          <w:color w:val="FF0000"/>
          <w:lang w:val="en-GB"/>
        </w:rPr>
      </w:pPr>
      <w:r>
        <w:rPr>
          <w:lang w:val="en-US"/>
        </w:rPr>
        <w:t>S</w:t>
      </w:r>
      <w:r w:rsidRPr="00E12221">
        <w:rPr>
          <w:lang w:val="en-US"/>
        </w:rPr>
        <w:t xml:space="preserve">erving a summons </w:t>
      </w:r>
      <w:r>
        <w:rPr>
          <w:lang w:val="en-US"/>
        </w:rPr>
        <w:t xml:space="preserve">or other documents </w:t>
      </w:r>
      <w:r w:rsidRPr="00E12221">
        <w:rPr>
          <w:lang w:val="en-US"/>
        </w:rPr>
        <w:t>to the accused person is not su</w:t>
      </w:r>
      <w:r>
        <w:rPr>
          <w:lang w:val="en-US"/>
        </w:rPr>
        <w:t xml:space="preserve">bject to a particular threshold. </w:t>
      </w:r>
      <w:r w:rsidR="006456FD">
        <w:rPr>
          <w:lang w:val="en-US"/>
        </w:rPr>
        <w:t>Public prosecutors may file an application to the court to issue a penalty order that is then to be served to the accused person.</w:t>
      </w:r>
      <w:r w:rsidR="006456FD" w:rsidRPr="0033147B">
        <w:rPr>
          <w:lang w:val="en-GB"/>
        </w:rPr>
        <w:t xml:space="preserve"> </w:t>
      </w:r>
      <w:r w:rsidR="006456FD" w:rsidRPr="006456FD">
        <w:rPr>
          <w:lang w:val="en-US"/>
        </w:rPr>
        <w:t>A summary p</w:t>
      </w:r>
      <w:r w:rsidR="006456FD">
        <w:rPr>
          <w:lang w:val="en-US"/>
        </w:rPr>
        <w:t>enalty order may impose only non-custodial sanctions; i</w:t>
      </w:r>
      <w:r w:rsidR="006456FD" w:rsidRPr="006456FD">
        <w:rPr>
          <w:lang w:val="en-US"/>
        </w:rPr>
        <w:t xml:space="preserve">f the </w:t>
      </w:r>
      <w:r w:rsidR="006456FD">
        <w:rPr>
          <w:lang w:val="en-US"/>
        </w:rPr>
        <w:t>accused</w:t>
      </w:r>
      <w:r w:rsidR="006456FD" w:rsidRPr="006456FD">
        <w:rPr>
          <w:lang w:val="en-US"/>
        </w:rPr>
        <w:t xml:space="preserve"> </w:t>
      </w:r>
      <w:r w:rsidR="006456FD">
        <w:rPr>
          <w:lang w:val="en-US"/>
        </w:rPr>
        <w:t xml:space="preserve">person </w:t>
      </w:r>
      <w:r w:rsidR="006456FD" w:rsidRPr="006456FD">
        <w:rPr>
          <w:lang w:val="en-US"/>
        </w:rPr>
        <w:t>has defence counsel, imprisonment for a term not exceeding one year may also be imposed, provided its enforcement is suspended on probation</w:t>
      </w:r>
      <w:r w:rsidR="006456FD">
        <w:rPr>
          <w:lang w:val="en-US"/>
        </w:rPr>
        <w:t xml:space="preserve"> (section 407(2) CCP)</w:t>
      </w:r>
      <w:r w:rsidR="006456FD" w:rsidRPr="006456FD">
        <w:rPr>
          <w:lang w:val="en-US"/>
        </w:rPr>
        <w:t>.</w:t>
      </w:r>
      <w:r w:rsidR="00D623F3">
        <w:rPr>
          <w:lang w:val="en-US"/>
        </w:rPr>
        <w:t xml:space="preserve"> Alternatively, the public prosecutor </w:t>
      </w:r>
      <w:r w:rsidR="00D623F3" w:rsidRPr="00D623F3">
        <w:rPr>
          <w:lang w:val="en-US"/>
        </w:rPr>
        <w:t>may dispense with the preferment of public charges and concurrently impose conditions on and issue directions to the accused</w:t>
      </w:r>
      <w:r w:rsidR="00D623F3">
        <w:rPr>
          <w:lang w:val="en-US"/>
        </w:rPr>
        <w:t xml:space="preserve"> person (section 153a CCP, e.g. payment of a certain amount of money). </w:t>
      </w:r>
      <w:r w:rsidR="00735CBE">
        <w:rPr>
          <w:lang w:val="en-US"/>
        </w:rPr>
        <w:t>Recourse to Art. 5 of the EU Convention is not necessary i</w:t>
      </w:r>
      <w:r w:rsidR="00054883">
        <w:rPr>
          <w:lang w:val="en-US"/>
        </w:rPr>
        <w:t xml:space="preserve">f the accused person has authorized a </w:t>
      </w:r>
      <w:r w:rsidR="00054883" w:rsidRPr="00D73E40">
        <w:rPr>
          <w:lang w:val="en-US"/>
        </w:rPr>
        <w:t>person residing within the district of the competent court to accept service</w:t>
      </w:r>
      <w:r w:rsidR="00054883">
        <w:rPr>
          <w:lang w:val="en-US"/>
        </w:rPr>
        <w:t xml:space="preserve"> of the penalty order (section 132 CCP</w:t>
      </w:r>
      <w:r w:rsidR="00735CBE">
        <w:rPr>
          <w:lang w:val="en-US"/>
        </w:rPr>
        <w:t xml:space="preserve">, see </w:t>
      </w:r>
      <w:r w:rsidR="00735CBE">
        <w:rPr>
          <w:i/>
          <w:lang w:val="en-US"/>
        </w:rPr>
        <w:t xml:space="preserve">supra </w:t>
      </w:r>
      <w:r w:rsidR="00735CBE">
        <w:rPr>
          <w:lang w:val="en-US"/>
        </w:rPr>
        <w:t>2.2.1.</w:t>
      </w:r>
      <w:r w:rsidR="00054883">
        <w:rPr>
          <w:lang w:val="en-US"/>
        </w:rPr>
        <w:t>)</w:t>
      </w:r>
      <w:r w:rsidR="00735CBE">
        <w:rPr>
          <w:lang w:val="en-US"/>
        </w:rPr>
        <w:t>.</w:t>
      </w:r>
    </w:p>
    <w:p w14:paraId="2A0014C1" w14:textId="77777777" w:rsidR="003D22FC" w:rsidRPr="003D22FC" w:rsidRDefault="003D22FC" w:rsidP="003D22FC">
      <w:pPr>
        <w:spacing w:line="360" w:lineRule="auto"/>
        <w:jc w:val="both"/>
        <w:rPr>
          <w:color w:val="FF0000"/>
          <w:highlight w:val="yellow"/>
          <w:lang w:val="en-GB"/>
        </w:rPr>
      </w:pPr>
    </w:p>
    <w:p w14:paraId="0F3B0B06" w14:textId="77777777" w:rsidR="00B54B8E" w:rsidRPr="000C50DF" w:rsidRDefault="00B54B8E" w:rsidP="00777A20">
      <w:pPr>
        <w:pStyle w:val="Listenabsatz"/>
        <w:numPr>
          <w:ilvl w:val="0"/>
          <w:numId w:val="33"/>
        </w:numPr>
        <w:spacing w:line="360" w:lineRule="auto"/>
        <w:ind w:left="2410" w:hanging="142"/>
        <w:jc w:val="both"/>
        <w:rPr>
          <w:lang w:val="en-GB"/>
        </w:rPr>
      </w:pPr>
      <w:r w:rsidRPr="000C50DF">
        <w:rPr>
          <w:lang w:val="en-GB"/>
        </w:rPr>
        <w:t>Convention on Transfer of Proceedings/European Convention on Mutual Assistance in Criminal Matters</w:t>
      </w:r>
    </w:p>
    <w:p w14:paraId="6722A35E" w14:textId="77777777" w:rsidR="00B54B8E" w:rsidRDefault="00B54B8E" w:rsidP="00777A20">
      <w:pPr>
        <w:spacing w:line="360" w:lineRule="auto"/>
        <w:ind w:left="2268"/>
        <w:jc w:val="both"/>
        <w:rPr>
          <w:color w:val="FF0000"/>
          <w:lang w:val="en-GB"/>
        </w:rPr>
      </w:pPr>
      <w:r w:rsidRPr="00353C2A">
        <w:rPr>
          <w:color w:val="FF0000"/>
          <w:lang w:val="en-GB"/>
        </w:rPr>
        <w:t>Transferring the proceedings to that MS. This is not an instrument that provides for ensuring that a suspect is available for investigation/prosecution in the issuing MS. However, given that the person concerned is present in another MS, transferring the proceedings to the MS</w:t>
      </w:r>
      <w:r w:rsidR="000C50DF">
        <w:rPr>
          <w:color w:val="FF0000"/>
          <w:lang w:val="en-GB"/>
        </w:rPr>
        <w:t xml:space="preserve"> of residence may be an option.</w:t>
      </w:r>
    </w:p>
    <w:p w14:paraId="1C630452" w14:textId="3BC1E6CB" w:rsidR="003D22FC" w:rsidRPr="003D22FC" w:rsidRDefault="003D22FC" w:rsidP="003D22FC">
      <w:pPr>
        <w:spacing w:line="360" w:lineRule="auto"/>
        <w:jc w:val="both"/>
        <w:rPr>
          <w:color w:val="FF0000"/>
          <w:highlight w:val="yellow"/>
          <w:lang w:val="en-US"/>
        </w:rPr>
      </w:pPr>
      <w:r w:rsidRPr="00810B30">
        <w:rPr>
          <w:lang w:val="en-US"/>
        </w:rPr>
        <w:lastRenderedPageBreak/>
        <w:t>C</w:t>
      </w:r>
      <w:r w:rsidRPr="00810B30">
        <w:rPr>
          <w:lang w:val="en-GB"/>
        </w:rPr>
        <w:t xml:space="preserve">riminal proceedings can be transferred </w:t>
      </w:r>
      <w:r w:rsidRPr="00810B30">
        <w:rPr>
          <w:lang w:val="en-US"/>
        </w:rPr>
        <w:t xml:space="preserve">irrespective of whether or not detention on remand is possible (or ordered) and whether the suspect is present in the issuing state (Germany) or another Member State. If the suspect, however, is present in another Member State and </w:t>
      </w:r>
      <w:r>
        <w:rPr>
          <w:lang w:val="en-US"/>
        </w:rPr>
        <w:t>that has refused to execute a</w:t>
      </w:r>
      <w:r w:rsidR="00127DD2">
        <w:rPr>
          <w:lang w:val="en-US"/>
        </w:rPr>
        <w:t>n</w:t>
      </w:r>
      <w:r>
        <w:rPr>
          <w:lang w:val="en-US"/>
        </w:rPr>
        <w:t xml:space="preserve"> EAW and surrender the accused person</w:t>
      </w:r>
      <w:r w:rsidRPr="00810B30">
        <w:rPr>
          <w:lang w:val="en-US"/>
        </w:rPr>
        <w:t>, the public prosecutor shall consider a transfer of proceedings (No. 145(1) GICCM).</w:t>
      </w:r>
      <w:r w:rsidR="0084430B">
        <w:rPr>
          <w:rStyle w:val="Funotenzeichen"/>
          <w:lang w:val="en-GB"/>
        </w:rPr>
        <w:footnoteReference w:id="246"/>
      </w:r>
    </w:p>
    <w:p w14:paraId="36E24436" w14:textId="0EEC413A" w:rsidR="00B54B8E" w:rsidRPr="00344085" w:rsidRDefault="003D22FC" w:rsidP="00777A20">
      <w:pPr>
        <w:spacing w:line="360" w:lineRule="auto"/>
        <w:ind w:left="1843"/>
        <w:jc w:val="both"/>
        <w:rPr>
          <w:lang w:val="de-DE"/>
        </w:rPr>
      </w:pPr>
      <w:r w:rsidRPr="00BC5ED2">
        <w:rPr>
          <w:lang w:val="en-US"/>
        </w:rPr>
        <w:t xml:space="preserve"> </w:t>
      </w:r>
      <w:r w:rsidR="00B54B8E" w:rsidRPr="00344085">
        <w:rPr>
          <w:lang w:val="de-DE"/>
        </w:rPr>
        <w:t>(dd) Other (?)</w:t>
      </w:r>
    </w:p>
    <w:p w14:paraId="6B3643E0" w14:textId="2EA96A8B" w:rsidR="000C50DF" w:rsidRDefault="003D6AA1" w:rsidP="00777A20">
      <w:pPr>
        <w:pStyle w:val="berschrift2"/>
        <w:numPr>
          <w:ilvl w:val="1"/>
          <w:numId w:val="15"/>
        </w:numPr>
        <w:ind w:left="567" w:firstLine="0"/>
        <w:rPr>
          <w:lang w:val="en-GB"/>
        </w:rPr>
      </w:pPr>
      <w:bookmarkStart w:id="178" w:name="_Toc147328927"/>
      <w:bookmarkStart w:id="179" w:name="_Toc147328983"/>
      <w:bookmarkStart w:id="180" w:name="_Toc147329095"/>
      <w:bookmarkStart w:id="181" w:name="_Toc170228525"/>
      <w:r>
        <w:rPr>
          <w:lang w:val="en-GB"/>
        </w:rPr>
        <w:t>Applicability and a</w:t>
      </w:r>
      <w:r w:rsidR="000C50DF">
        <w:rPr>
          <w:lang w:val="en-GB"/>
        </w:rPr>
        <w:t>pplication of the instruments at the trial stage</w:t>
      </w:r>
      <w:bookmarkEnd w:id="178"/>
      <w:bookmarkEnd w:id="179"/>
      <w:bookmarkEnd w:id="180"/>
      <w:r>
        <w:rPr>
          <w:lang w:val="en-GB"/>
        </w:rPr>
        <w:t xml:space="preserve"> according to national law</w:t>
      </w:r>
      <w:bookmarkEnd w:id="181"/>
    </w:p>
    <w:p w14:paraId="1BD6D59F" w14:textId="77777777" w:rsidR="000C50DF" w:rsidRDefault="000C50DF" w:rsidP="00777A20">
      <w:pPr>
        <w:jc w:val="both"/>
        <w:rPr>
          <w:lang w:val="en-GB"/>
        </w:rPr>
      </w:pPr>
    </w:p>
    <w:p w14:paraId="1BCE084F" w14:textId="77777777" w:rsidR="000C50DF" w:rsidRPr="003A5F21" w:rsidRDefault="000C50DF" w:rsidP="00777A20">
      <w:pPr>
        <w:jc w:val="both"/>
        <w:rPr>
          <w:b/>
          <w:color w:val="FF0000"/>
          <w:lang w:val="en-GB"/>
        </w:rPr>
      </w:pPr>
      <w:r>
        <w:rPr>
          <w:b/>
          <w:color w:val="FF0000"/>
          <w:lang w:val="en-GB"/>
        </w:rPr>
        <w:t>General introduction</w:t>
      </w:r>
    </w:p>
    <w:p w14:paraId="4A21867B" w14:textId="77777777" w:rsidR="000C50DF" w:rsidRDefault="000C50DF" w:rsidP="00777A20">
      <w:pPr>
        <w:jc w:val="both"/>
        <w:rPr>
          <w:lang w:val="en-GB"/>
        </w:rPr>
      </w:pPr>
    </w:p>
    <w:p w14:paraId="0330F6FA" w14:textId="77777777" w:rsidR="000C50DF" w:rsidRDefault="000C50DF" w:rsidP="00777A20">
      <w:pPr>
        <w:spacing w:line="360" w:lineRule="auto"/>
        <w:jc w:val="both"/>
        <w:rPr>
          <w:color w:val="FF0000"/>
          <w:lang w:val="en-GB"/>
        </w:rPr>
      </w:pPr>
      <w:r w:rsidRPr="00353C2A">
        <w:rPr>
          <w:color w:val="FF0000"/>
          <w:lang w:val="en-GB"/>
        </w:rPr>
        <w:t>In section 2.3, the various instruments will be linked to specific needs for judicial cooperation at the trial stage. The needs in this section are as follows:</w:t>
      </w:r>
    </w:p>
    <w:p w14:paraId="087F8394" w14:textId="77777777" w:rsidR="001A090D" w:rsidRPr="00AA0269" w:rsidRDefault="001A090D" w:rsidP="00777A20">
      <w:pPr>
        <w:numPr>
          <w:ilvl w:val="0"/>
          <w:numId w:val="34"/>
        </w:numPr>
        <w:spacing w:line="360" w:lineRule="auto"/>
        <w:ind w:left="1843" w:hanging="425"/>
        <w:contextualSpacing/>
        <w:jc w:val="both"/>
        <w:rPr>
          <w:color w:val="FF0000"/>
          <w:kern w:val="2"/>
          <w:lang w:val="en-GB"/>
          <w14:ligatures w14:val="standardContextual"/>
        </w:rPr>
      </w:pPr>
      <w:r w:rsidRPr="00AA0269">
        <w:rPr>
          <w:color w:val="FF0000"/>
          <w:kern w:val="2"/>
          <w:lang w:val="en-GB"/>
          <w14:ligatures w14:val="standardContextual"/>
        </w:rPr>
        <w:t>executing investigative measures/prosecution such as interrogating the suspect or executing a confrontation (if he is present in another MS);</w:t>
      </w:r>
      <w:r w:rsidRPr="001A090D">
        <w:rPr>
          <w:rStyle w:val="Funotenzeichen"/>
          <w:rFonts w:eastAsiaTheme="majorEastAsia"/>
          <w:color w:val="FF0000"/>
          <w:lang w:val="en-GB"/>
        </w:rPr>
        <w:t xml:space="preserve"> </w:t>
      </w:r>
      <w:r w:rsidRPr="00353C2A">
        <w:rPr>
          <w:rStyle w:val="Funotenzeichen"/>
          <w:rFonts w:eastAsiaTheme="majorEastAsia"/>
          <w:color w:val="FF0000"/>
          <w:lang w:val="en-GB"/>
        </w:rPr>
        <w:footnoteReference w:id="247"/>
      </w:r>
    </w:p>
    <w:p w14:paraId="1EE7856F" w14:textId="77777777" w:rsidR="001A090D" w:rsidRDefault="001A090D" w:rsidP="00777A20">
      <w:pPr>
        <w:numPr>
          <w:ilvl w:val="0"/>
          <w:numId w:val="34"/>
        </w:numPr>
        <w:spacing w:line="360" w:lineRule="auto"/>
        <w:ind w:left="1843" w:hanging="425"/>
        <w:contextualSpacing/>
        <w:jc w:val="both"/>
        <w:rPr>
          <w:color w:val="FF0000"/>
          <w:lang w:val="en-GB"/>
        </w:rPr>
      </w:pPr>
      <w:r w:rsidRPr="00AA0269">
        <w:rPr>
          <w:color w:val="FF0000"/>
          <w:kern w:val="2"/>
          <w:lang w:val="en-GB"/>
          <w14:ligatures w14:val="standardContextual"/>
        </w:rPr>
        <w:t>ensuring that the suspect is available to the competent authority for the purpose of investigative measures/prosecution</w:t>
      </w:r>
      <w:r>
        <w:rPr>
          <w:color w:val="FF0000"/>
          <w:kern w:val="2"/>
          <w:lang w:val="en-GB"/>
          <w14:ligatures w14:val="standardContextual"/>
        </w:rPr>
        <w:t xml:space="preserve"> </w:t>
      </w:r>
      <w:r w:rsidRPr="00353C2A">
        <w:rPr>
          <w:color w:val="FF0000"/>
          <w:lang w:val="en-GB"/>
        </w:rPr>
        <w:t>or ensuring his availability for the trial</w:t>
      </w:r>
      <w:r w:rsidRPr="00AA0269">
        <w:rPr>
          <w:color w:val="FF0000"/>
          <w:kern w:val="2"/>
          <w:lang w:val="en-GB"/>
          <w14:ligatures w14:val="standardContextual"/>
        </w:rPr>
        <w:t xml:space="preserve"> (whether </w:t>
      </w:r>
      <w:r w:rsidRPr="00AA0269">
        <w:rPr>
          <w:color w:val="FF0000"/>
          <w:lang w:val="en-GB"/>
        </w:rPr>
        <w:t xml:space="preserve">or not he is present in the issuing MS). This means ensuring that the competent authority can reach the suspect for such measures as an interrogation, a confrontation </w:t>
      </w:r>
      <w:r w:rsidRPr="00AA0269">
        <w:rPr>
          <w:i/>
          <w:iCs/>
          <w:color w:val="FF0000"/>
          <w:lang w:val="en-GB"/>
        </w:rPr>
        <w:t>et cetera</w:t>
      </w:r>
      <w:r w:rsidRPr="00AA0269">
        <w:rPr>
          <w:color w:val="FF0000"/>
          <w:lang w:val="en-GB"/>
        </w:rPr>
        <w:t>.</w:t>
      </w:r>
    </w:p>
    <w:p w14:paraId="32F6B46E" w14:textId="77777777" w:rsidR="001A090D" w:rsidRDefault="001A090D" w:rsidP="00777A20">
      <w:pPr>
        <w:numPr>
          <w:ilvl w:val="0"/>
          <w:numId w:val="34"/>
        </w:numPr>
        <w:spacing w:line="360" w:lineRule="auto"/>
        <w:ind w:left="1843" w:hanging="425"/>
        <w:contextualSpacing/>
        <w:jc w:val="both"/>
        <w:rPr>
          <w:color w:val="FF0000"/>
          <w:lang w:val="en-GB"/>
        </w:rPr>
      </w:pPr>
      <w:r>
        <w:rPr>
          <w:color w:val="FF0000"/>
          <w:lang w:val="en-GB"/>
        </w:rPr>
        <w:t>ensuring the suspect’s presence at trial:</w:t>
      </w:r>
    </w:p>
    <w:p w14:paraId="3D74A4A2" w14:textId="77777777" w:rsidR="001A090D" w:rsidRPr="00AA0269" w:rsidRDefault="001A090D" w:rsidP="00777A20">
      <w:pPr>
        <w:numPr>
          <w:ilvl w:val="0"/>
          <w:numId w:val="34"/>
        </w:numPr>
        <w:spacing w:line="360" w:lineRule="auto"/>
        <w:ind w:left="1843" w:hanging="425"/>
        <w:contextualSpacing/>
        <w:jc w:val="both"/>
        <w:rPr>
          <w:color w:val="FF0000"/>
          <w:lang w:val="en-GB"/>
        </w:rPr>
      </w:pPr>
      <w:r>
        <w:rPr>
          <w:color w:val="FF0000"/>
          <w:lang w:val="en-GB"/>
        </w:rPr>
        <w:t>other (?)</w:t>
      </w:r>
    </w:p>
    <w:p w14:paraId="3EDCB3AE" w14:textId="77777777" w:rsidR="001A090D" w:rsidRPr="00353C2A" w:rsidRDefault="001A090D" w:rsidP="00777A20">
      <w:pPr>
        <w:spacing w:line="360" w:lineRule="auto"/>
        <w:jc w:val="both"/>
        <w:rPr>
          <w:color w:val="FF0000"/>
          <w:lang w:val="en-GB"/>
        </w:rPr>
      </w:pPr>
    </w:p>
    <w:p w14:paraId="33E5EDAF" w14:textId="72BE3858" w:rsidR="000C50DF" w:rsidRPr="00F44757" w:rsidRDefault="000C50DF" w:rsidP="00777A20">
      <w:pPr>
        <w:spacing w:line="360" w:lineRule="auto"/>
        <w:jc w:val="both"/>
        <w:rPr>
          <w:color w:val="FF0000"/>
          <w:lang w:val="en-GB"/>
        </w:rPr>
      </w:pPr>
      <w:r w:rsidRPr="00353C2A">
        <w:rPr>
          <w:i/>
          <w:iCs/>
          <w:color w:val="FF0000"/>
          <w:lang w:val="en-GB"/>
        </w:rPr>
        <w:t>Nota bene</w:t>
      </w:r>
      <w:r w:rsidRPr="00353C2A">
        <w:rPr>
          <w:color w:val="FF0000"/>
          <w:lang w:val="en-GB"/>
        </w:rPr>
        <w:t>: the trial stage is part of the investigation/prosecution phase. That is why (aa) is also included.</w:t>
      </w:r>
      <w:r w:rsidR="005F4ACA">
        <w:rPr>
          <w:color w:val="FF0000"/>
          <w:lang w:val="en-GB"/>
        </w:rPr>
        <w:t xml:space="preserve"> </w:t>
      </w:r>
      <w:r w:rsidR="005F4ACA" w:rsidRPr="00F44757">
        <w:rPr>
          <w:color w:val="FF0000"/>
          <w:lang w:val="en-GB"/>
        </w:rPr>
        <w:t xml:space="preserve">As stated before, at the trial stage, and thus during “prosecution”, there may be a need for investigative measures. </w:t>
      </w:r>
    </w:p>
    <w:p w14:paraId="16DC1364" w14:textId="77777777" w:rsidR="000C50DF" w:rsidRPr="00353C2A" w:rsidRDefault="000C50DF" w:rsidP="00777A20">
      <w:pPr>
        <w:spacing w:line="360" w:lineRule="auto"/>
        <w:jc w:val="both"/>
        <w:rPr>
          <w:color w:val="FF0000"/>
          <w:lang w:val="en-GB"/>
        </w:rPr>
      </w:pPr>
    </w:p>
    <w:p w14:paraId="13E09B61" w14:textId="1D9D10DB" w:rsidR="000C50DF" w:rsidRPr="00353C2A" w:rsidRDefault="000C50DF" w:rsidP="00777A20">
      <w:pPr>
        <w:spacing w:line="360" w:lineRule="auto"/>
        <w:jc w:val="both"/>
        <w:rPr>
          <w:color w:val="FF0000"/>
          <w:lang w:val="en-GB"/>
        </w:rPr>
      </w:pPr>
      <w:r w:rsidRPr="00353C2A">
        <w:rPr>
          <w:color w:val="FF0000"/>
          <w:lang w:val="en-GB"/>
        </w:rPr>
        <w:t xml:space="preserve">What was said in the introduction to section 2.2 concerning the task of the NAR applies </w:t>
      </w:r>
      <w:r w:rsidRPr="00353C2A">
        <w:rPr>
          <w:i/>
          <w:iCs/>
          <w:color w:val="FF0000"/>
          <w:lang w:val="en-GB"/>
        </w:rPr>
        <w:t>mutatis mutandis</w:t>
      </w:r>
      <w:r w:rsidRPr="00353C2A">
        <w:rPr>
          <w:color w:val="FF0000"/>
          <w:lang w:val="en-GB"/>
        </w:rPr>
        <w:t xml:space="preserve"> to this section.</w:t>
      </w:r>
      <w:r w:rsidR="003D6AA1">
        <w:rPr>
          <w:color w:val="FF0000"/>
          <w:lang w:val="en-GB"/>
        </w:rPr>
        <w:t xml:space="preserve"> To be clear: applicability according to national law is only to be addressed if there are applicability issues.</w:t>
      </w:r>
    </w:p>
    <w:p w14:paraId="2AB5869F" w14:textId="77777777" w:rsidR="001A090D" w:rsidRDefault="001A090D" w:rsidP="00777A20">
      <w:pPr>
        <w:spacing w:line="360" w:lineRule="auto"/>
        <w:jc w:val="both"/>
        <w:rPr>
          <w:lang w:val="en-GB"/>
        </w:rPr>
      </w:pPr>
    </w:p>
    <w:p w14:paraId="10FA45F3" w14:textId="77777777" w:rsidR="001A090D" w:rsidRPr="00CF2A65" w:rsidRDefault="001A090D" w:rsidP="00777A20">
      <w:pPr>
        <w:pStyle w:val="berschrift5"/>
        <w:numPr>
          <w:ilvl w:val="0"/>
          <w:numId w:val="48"/>
        </w:numPr>
        <w:ind w:left="1843" w:hanging="425"/>
        <w:rPr>
          <w:lang w:val="en-GB"/>
        </w:rPr>
      </w:pPr>
      <w:bookmarkStart w:id="182" w:name="_Toc147328984"/>
      <w:bookmarkStart w:id="183" w:name="_Toc147329096"/>
      <w:bookmarkStart w:id="184" w:name="_Toc170228526"/>
      <w:bookmarkStart w:id="185" w:name="_Hlk143768558"/>
      <w:r w:rsidRPr="00CF2A65">
        <w:rPr>
          <w:lang w:val="en-GB"/>
        </w:rPr>
        <w:lastRenderedPageBreak/>
        <w:t>Person concerned present in issuing MS</w:t>
      </w:r>
      <w:bookmarkEnd w:id="182"/>
      <w:bookmarkEnd w:id="183"/>
      <w:bookmarkEnd w:id="184"/>
    </w:p>
    <w:p w14:paraId="6C5A39FD" w14:textId="77777777" w:rsidR="001A090D" w:rsidRPr="00CF2A65" w:rsidRDefault="001A090D" w:rsidP="00777A20">
      <w:pPr>
        <w:pStyle w:val="berschrift6"/>
        <w:numPr>
          <w:ilvl w:val="0"/>
          <w:numId w:val="49"/>
        </w:numPr>
        <w:ind w:left="1701" w:firstLine="0"/>
        <w:rPr>
          <w:lang w:val="en-GB"/>
        </w:rPr>
      </w:pPr>
      <w:bookmarkStart w:id="186" w:name="_Toc147328985"/>
      <w:bookmarkStart w:id="187" w:name="_Toc147329097"/>
      <w:bookmarkStart w:id="188" w:name="_Toc170228527"/>
      <w:r w:rsidRPr="00CF2A65">
        <w:rPr>
          <w:lang w:val="en-GB"/>
        </w:rPr>
        <w:t>detention on remand possible but not ordered</w:t>
      </w:r>
      <w:r w:rsidRPr="00353C2A">
        <w:rPr>
          <w:rStyle w:val="Funotenzeichen"/>
          <w:lang w:val="en-GB"/>
        </w:rPr>
        <w:footnoteReference w:id="248"/>
      </w:r>
      <w:bookmarkEnd w:id="186"/>
      <w:bookmarkEnd w:id="187"/>
      <w:bookmarkEnd w:id="188"/>
    </w:p>
    <w:bookmarkEnd w:id="185"/>
    <w:p w14:paraId="5C6FA063" w14:textId="11E25045" w:rsidR="001A090D" w:rsidRPr="00353C2A" w:rsidRDefault="001A090D" w:rsidP="00777A20">
      <w:pPr>
        <w:spacing w:line="360" w:lineRule="auto"/>
        <w:ind w:left="1843" w:firstLine="10"/>
        <w:jc w:val="both"/>
        <w:rPr>
          <w:lang w:val="en-GB"/>
        </w:rPr>
      </w:pPr>
      <w:r w:rsidRPr="00353C2A">
        <w:rPr>
          <w:lang w:val="en-GB"/>
        </w:rPr>
        <w:t>(bb) Ensuring that the</w:t>
      </w:r>
      <w:r w:rsidRPr="00353C2A">
        <w:rPr>
          <w:lang w:val="en-GB"/>
        </w:rPr>
        <w:tab/>
        <w:t>suspect is available</w:t>
      </w:r>
      <w:r w:rsidR="00711384">
        <w:rPr>
          <w:rStyle w:val="Funotenzeichen"/>
          <w:lang w:val="en-GB"/>
        </w:rPr>
        <w:footnoteReference w:id="249"/>
      </w:r>
    </w:p>
    <w:p w14:paraId="4168CB02" w14:textId="77777777" w:rsidR="001A090D" w:rsidRPr="007C0356" w:rsidRDefault="001A090D" w:rsidP="00777A20">
      <w:pPr>
        <w:pStyle w:val="Listenabsatz"/>
        <w:numPr>
          <w:ilvl w:val="0"/>
          <w:numId w:val="33"/>
        </w:numPr>
        <w:spacing w:line="360" w:lineRule="auto"/>
        <w:ind w:left="2410" w:hanging="142"/>
        <w:jc w:val="both"/>
        <w:rPr>
          <w:lang w:val="en-GB"/>
        </w:rPr>
      </w:pPr>
      <w:r w:rsidRPr="007C0356">
        <w:rPr>
          <w:lang w:val="en-GB"/>
        </w:rPr>
        <w:t xml:space="preserve">FD 2009/829/JHA </w:t>
      </w:r>
      <w:r w:rsidRPr="007C0356">
        <w:rPr>
          <w:color w:val="FF0000"/>
          <w:lang w:val="en-GB"/>
        </w:rPr>
        <w:t>(?)</w:t>
      </w:r>
    </w:p>
    <w:p w14:paraId="6C40EBC8" w14:textId="48B5C700" w:rsidR="001A090D" w:rsidRDefault="001A090D" w:rsidP="00777A20">
      <w:pPr>
        <w:spacing w:line="360" w:lineRule="auto"/>
        <w:ind w:left="2268"/>
        <w:jc w:val="both"/>
        <w:rPr>
          <w:color w:val="FF0000"/>
          <w:lang w:val="en-GB"/>
        </w:rPr>
      </w:pPr>
      <w:r w:rsidRPr="00353C2A">
        <w:rPr>
          <w:color w:val="FF0000"/>
          <w:lang w:val="en-GB"/>
        </w:rPr>
        <w:t xml:space="preserve">An ESO is ‘an alternative to provisional detention’ (Art. 1 FD 2009/829/JHA). Is it possible </w:t>
      </w:r>
      <w:r w:rsidRPr="00353C2A">
        <w:rPr>
          <w:color w:val="FF0000"/>
          <w:u w:val="single"/>
          <w:lang w:val="en-GB"/>
        </w:rPr>
        <w:t>under national law</w:t>
      </w:r>
      <w:r w:rsidRPr="00353C2A">
        <w:rPr>
          <w:color w:val="FF0000"/>
          <w:lang w:val="en-GB"/>
        </w:rPr>
        <w:t xml:space="preserve"> to issue an ESO, if detention on remand is possible but not ordered</w:t>
      </w:r>
      <w:r w:rsidR="00221332" w:rsidRPr="00F44757">
        <w:rPr>
          <w:color w:val="FF0000"/>
          <w:lang w:val="en-GB"/>
        </w:rPr>
        <w:t>, and, if so, under what conditions</w:t>
      </w:r>
      <w:r w:rsidRPr="00F44757">
        <w:rPr>
          <w:color w:val="FF0000"/>
          <w:lang w:val="en-GB"/>
        </w:rPr>
        <w:t>?</w:t>
      </w:r>
    </w:p>
    <w:p w14:paraId="24A35F4A" w14:textId="4BE0BEFB" w:rsidR="00451282" w:rsidRDefault="00451282" w:rsidP="00451282">
      <w:pPr>
        <w:spacing w:line="360" w:lineRule="auto"/>
        <w:jc w:val="both"/>
        <w:rPr>
          <w:lang w:val="en-US"/>
        </w:rPr>
      </w:pPr>
      <w:r w:rsidRPr="00451282">
        <w:rPr>
          <w:lang w:val="en-US"/>
        </w:rPr>
        <w:t>As in the pre-trial stage (</w:t>
      </w:r>
      <w:r w:rsidRPr="00451282">
        <w:rPr>
          <w:i/>
          <w:lang w:val="en-US"/>
        </w:rPr>
        <w:t xml:space="preserve">supra </w:t>
      </w:r>
      <w:r w:rsidRPr="00451282">
        <w:rPr>
          <w:lang w:val="en-US"/>
        </w:rPr>
        <w:t>2.2.1.), an arrest warrant ordering detention on remand is a precondition to issuing a</w:t>
      </w:r>
      <w:r w:rsidR="001C67F0">
        <w:rPr>
          <w:lang w:val="en-US"/>
        </w:rPr>
        <w:t>n</w:t>
      </w:r>
      <w:r w:rsidRPr="00451282">
        <w:rPr>
          <w:lang w:val="en-US"/>
        </w:rPr>
        <w:t xml:space="preserve"> ESO. In the trial stage, the trial court is competent to suspend the execution of the arrest warrant, to adopt supervision measures and to issue a</w:t>
      </w:r>
      <w:r w:rsidR="001C67F0">
        <w:rPr>
          <w:lang w:val="en-US"/>
        </w:rPr>
        <w:t>n</w:t>
      </w:r>
      <w:r w:rsidRPr="00451282">
        <w:rPr>
          <w:lang w:val="en-US"/>
        </w:rPr>
        <w:t xml:space="preserve"> ESO (sections 90y AICCM, 126(2) CCP).</w:t>
      </w:r>
    </w:p>
    <w:p w14:paraId="3178E853" w14:textId="37228143" w:rsidR="00121FF1" w:rsidRPr="00EB58E0" w:rsidRDefault="00121FF1" w:rsidP="00451282">
      <w:pPr>
        <w:spacing w:line="360" w:lineRule="auto"/>
        <w:jc w:val="both"/>
        <w:rPr>
          <w:lang w:val="en-US"/>
        </w:rPr>
      </w:pPr>
      <w:r>
        <w:rPr>
          <w:lang w:val="en-US"/>
        </w:rPr>
        <w:t xml:space="preserve">If the accused person is </w:t>
      </w:r>
      <w:r w:rsidRPr="00EB58E0">
        <w:rPr>
          <w:lang w:val="en-US"/>
        </w:rPr>
        <w:t>present in the issuing Member State, recourse to the EIO and the EU Convention on Mutual Assistance is not necessary (</w:t>
      </w:r>
      <w:r w:rsidRPr="00EB58E0">
        <w:rPr>
          <w:i/>
          <w:lang w:val="en-US"/>
        </w:rPr>
        <w:t xml:space="preserve">supra </w:t>
      </w:r>
      <w:r w:rsidRPr="00EB58E0">
        <w:rPr>
          <w:lang w:val="en-US"/>
        </w:rPr>
        <w:t>2.</w:t>
      </w:r>
      <w:r>
        <w:rPr>
          <w:lang w:val="en-US"/>
        </w:rPr>
        <w:t>2</w:t>
      </w:r>
      <w:r w:rsidRPr="00EB58E0">
        <w:rPr>
          <w:lang w:val="en-US"/>
        </w:rPr>
        <w:t>.1.).</w:t>
      </w:r>
      <w:r>
        <w:rPr>
          <w:lang w:val="en-US"/>
        </w:rPr>
        <w:t xml:space="preserve"> Likewise, </w:t>
      </w:r>
      <w:r w:rsidRPr="00EB58E0">
        <w:rPr>
          <w:lang w:val="en-US"/>
        </w:rPr>
        <w:t>a transfer of proceedings will hardly serve the proper administration of justice if the accused person is present in the issuing state and the trial, thus, can be continued in this state.</w:t>
      </w:r>
    </w:p>
    <w:p w14:paraId="10F86766" w14:textId="77777777" w:rsidR="00451282" w:rsidRPr="00735CBE" w:rsidRDefault="00451282" w:rsidP="00BC5ED2">
      <w:pPr>
        <w:spacing w:line="360" w:lineRule="auto"/>
        <w:jc w:val="both"/>
        <w:rPr>
          <w:lang w:val="en-US"/>
        </w:rPr>
      </w:pPr>
    </w:p>
    <w:p w14:paraId="11A2529E" w14:textId="77777777" w:rsidR="001A090D" w:rsidRPr="00353C2A" w:rsidRDefault="001A090D" w:rsidP="00777A20">
      <w:pPr>
        <w:spacing w:line="360" w:lineRule="auto"/>
        <w:ind w:left="1843" w:firstLine="10"/>
        <w:jc w:val="both"/>
        <w:rPr>
          <w:lang w:val="en-GB"/>
        </w:rPr>
      </w:pPr>
      <w:r w:rsidRPr="00353C2A">
        <w:rPr>
          <w:lang w:val="en-GB"/>
        </w:rPr>
        <w:t>(dd) Other (?)</w:t>
      </w:r>
    </w:p>
    <w:p w14:paraId="1B482DB9" w14:textId="77777777" w:rsidR="001A090D" w:rsidRPr="007C0356" w:rsidRDefault="001A090D" w:rsidP="00777A20">
      <w:pPr>
        <w:pStyle w:val="berschrift6"/>
        <w:ind w:left="1701" w:firstLine="0"/>
        <w:rPr>
          <w:lang w:val="en-GB"/>
        </w:rPr>
      </w:pPr>
      <w:bookmarkStart w:id="189" w:name="_Hlk143768609"/>
      <w:bookmarkStart w:id="190" w:name="_Toc147328986"/>
      <w:bookmarkStart w:id="191" w:name="_Toc147329098"/>
      <w:bookmarkStart w:id="192" w:name="_Toc170228528"/>
      <w:r w:rsidRPr="007C0356">
        <w:rPr>
          <w:lang w:val="en-GB"/>
        </w:rPr>
        <w:t>person concerned in detention on remand</w:t>
      </w:r>
      <w:bookmarkEnd w:id="189"/>
      <w:bookmarkEnd w:id="190"/>
      <w:bookmarkEnd w:id="191"/>
      <w:bookmarkEnd w:id="192"/>
    </w:p>
    <w:p w14:paraId="3B0EE022" w14:textId="33B4CD58" w:rsidR="001A090D" w:rsidRDefault="001A090D" w:rsidP="00735CBE">
      <w:pPr>
        <w:spacing w:line="360" w:lineRule="auto"/>
        <w:jc w:val="both"/>
        <w:rPr>
          <w:lang w:val="en-GB"/>
        </w:rPr>
      </w:pPr>
      <w:r w:rsidRPr="00735CBE">
        <w:rPr>
          <w:lang w:val="en-GB"/>
        </w:rPr>
        <w:t>In this situation</w:t>
      </w:r>
      <w:r w:rsidR="003577A5" w:rsidRPr="00735CBE">
        <w:rPr>
          <w:lang w:val="en-GB"/>
        </w:rPr>
        <w:t>,</w:t>
      </w:r>
      <w:r w:rsidRPr="00735CBE">
        <w:rPr>
          <w:lang w:val="en-GB"/>
        </w:rPr>
        <w:t xml:space="preserve"> there is no need for jud</w:t>
      </w:r>
      <w:r w:rsidR="003577A5" w:rsidRPr="00735CBE">
        <w:rPr>
          <w:lang w:val="en-GB"/>
        </w:rPr>
        <w:t>icial cooperation</w:t>
      </w:r>
      <w:r w:rsidR="007C0356" w:rsidRPr="00735CBE">
        <w:rPr>
          <w:lang w:val="en-GB"/>
        </w:rPr>
        <w:t xml:space="preserve"> because the </w:t>
      </w:r>
      <w:r w:rsidRPr="00735CBE">
        <w:rPr>
          <w:lang w:val="en-GB"/>
        </w:rPr>
        <w:t>suspect is already available for investigative/prosecution measures</w:t>
      </w:r>
      <w:r w:rsidR="009C1EA7" w:rsidRPr="00735CBE">
        <w:rPr>
          <w:lang w:val="en-GB"/>
        </w:rPr>
        <w:t xml:space="preserve"> and availability for trial is ensured</w:t>
      </w:r>
      <w:r w:rsidRPr="00735CBE">
        <w:rPr>
          <w:lang w:val="en-GB"/>
        </w:rPr>
        <w:t>.</w:t>
      </w:r>
      <w:bookmarkStart w:id="193" w:name="_Hlk143768639"/>
      <w:r w:rsidRPr="00735CBE">
        <w:rPr>
          <w:lang w:val="en-GB"/>
        </w:rPr>
        <w:t xml:space="preserve"> </w:t>
      </w:r>
    </w:p>
    <w:p w14:paraId="2BEB3B05" w14:textId="77777777" w:rsidR="00735CBE" w:rsidRPr="00735CBE" w:rsidRDefault="00735CBE" w:rsidP="00735CBE">
      <w:pPr>
        <w:spacing w:line="360" w:lineRule="auto"/>
        <w:jc w:val="both"/>
        <w:rPr>
          <w:lang w:val="en-GB"/>
        </w:rPr>
      </w:pPr>
    </w:p>
    <w:p w14:paraId="44B94E98" w14:textId="77777777" w:rsidR="001A090D" w:rsidRPr="007C0356" w:rsidRDefault="001A090D" w:rsidP="00777A20">
      <w:pPr>
        <w:pStyle w:val="berschrift5"/>
        <w:ind w:left="1843" w:hanging="425"/>
        <w:rPr>
          <w:lang w:val="en-GB"/>
        </w:rPr>
      </w:pPr>
      <w:bookmarkStart w:id="194" w:name="_Toc147328987"/>
      <w:bookmarkStart w:id="195" w:name="_Toc147329099"/>
      <w:bookmarkStart w:id="196" w:name="_Toc170228529"/>
      <w:r w:rsidRPr="007C0356">
        <w:rPr>
          <w:lang w:val="en-GB"/>
        </w:rPr>
        <w:t>Person concerned is present in another MS</w:t>
      </w:r>
      <w:bookmarkEnd w:id="194"/>
      <w:bookmarkEnd w:id="195"/>
      <w:bookmarkEnd w:id="196"/>
    </w:p>
    <w:p w14:paraId="1408F9AF" w14:textId="77777777" w:rsidR="001A090D" w:rsidRPr="00CF2A65" w:rsidRDefault="001A090D" w:rsidP="00777A20">
      <w:pPr>
        <w:pStyle w:val="berschrift6"/>
        <w:numPr>
          <w:ilvl w:val="0"/>
          <w:numId w:val="50"/>
        </w:numPr>
        <w:ind w:left="1701" w:firstLine="0"/>
        <w:rPr>
          <w:lang w:val="en-GB"/>
        </w:rPr>
      </w:pPr>
      <w:bookmarkStart w:id="197" w:name="_Toc147328988"/>
      <w:bookmarkStart w:id="198" w:name="_Toc147329100"/>
      <w:bookmarkStart w:id="199" w:name="_Toc170228530"/>
      <w:r w:rsidRPr="00CF2A65">
        <w:rPr>
          <w:lang w:val="en-GB"/>
        </w:rPr>
        <w:t>detention on remand possible but not ordered</w:t>
      </w:r>
      <w:bookmarkEnd w:id="193"/>
      <w:bookmarkEnd w:id="197"/>
      <w:bookmarkEnd w:id="198"/>
      <w:bookmarkEnd w:id="199"/>
    </w:p>
    <w:p w14:paraId="375F6798" w14:textId="77777777" w:rsidR="001A090D" w:rsidRPr="00353C2A" w:rsidRDefault="001A090D" w:rsidP="00777A20">
      <w:pPr>
        <w:spacing w:line="360" w:lineRule="auto"/>
        <w:ind w:left="1843"/>
        <w:jc w:val="both"/>
        <w:rPr>
          <w:lang w:val="en-GB"/>
        </w:rPr>
      </w:pPr>
      <w:r w:rsidRPr="00353C2A">
        <w:rPr>
          <w:lang w:val="en-GB"/>
        </w:rPr>
        <w:t>(aa) executing investigative measures/prosecution such as interrogating the suspect;</w:t>
      </w:r>
    </w:p>
    <w:p w14:paraId="621614D3" w14:textId="7D1D8FC1" w:rsidR="001A090D" w:rsidRPr="007C0356" w:rsidRDefault="001A090D" w:rsidP="00777A20">
      <w:pPr>
        <w:pStyle w:val="Listenabsatz"/>
        <w:numPr>
          <w:ilvl w:val="0"/>
          <w:numId w:val="33"/>
        </w:numPr>
        <w:spacing w:line="360" w:lineRule="auto"/>
        <w:ind w:left="2410" w:hanging="142"/>
        <w:jc w:val="both"/>
        <w:rPr>
          <w:color w:val="FF0000"/>
          <w:lang w:val="en-GB"/>
        </w:rPr>
      </w:pPr>
      <w:r w:rsidRPr="007C0356">
        <w:rPr>
          <w:lang w:val="en-GB"/>
        </w:rPr>
        <w:lastRenderedPageBreak/>
        <w:t>DR 2014/41</w:t>
      </w:r>
      <w:r w:rsidR="00DE69B4">
        <w:rPr>
          <w:rStyle w:val="Funotenzeichen"/>
          <w:lang w:val="en-GB"/>
        </w:rPr>
        <w:footnoteReference w:id="250"/>
      </w:r>
      <w:r w:rsidR="00654C6D">
        <w:rPr>
          <w:lang w:val="en-GB"/>
        </w:rPr>
        <w:t xml:space="preserve"> </w:t>
      </w:r>
      <w:r w:rsidR="00654C6D" w:rsidRPr="00777A20">
        <w:rPr>
          <w:color w:val="FF0000"/>
          <w:lang w:val="en-GB"/>
        </w:rPr>
        <w:t>(?)</w:t>
      </w:r>
    </w:p>
    <w:p w14:paraId="0429BDFE" w14:textId="6E1BFF15" w:rsidR="001A090D" w:rsidRDefault="001A090D" w:rsidP="00777A20">
      <w:pPr>
        <w:spacing w:line="360" w:lineRule="auto"/>
        <w:ind w:left="2268"/>
        <w:jc w:val="both"/>
        <w:rPr>
          <w:color w:val="FF0000"/>
          <w:lang w:val="en-GB"/>
        </w:rPr>
      </w:pPr>
      <w:r w:rsidRPr="00353C2A">
        <w:rPr>
          <w:color w:val="FF0000"/>
          <w:lang w:val="en-GB"/>
        </w:rPr>
        <w:t>Temporary transfer</w:t>
      </w:r>
      <w:r w:rsidR="005F4ACA">
        <w:rPr>
          <w:rStyle w:val="Funotenzeichen"/>
          <w:color w:val="FF0000"/>
          <w:lang w:val="en-GB"/>
        </w:rPr>
        <w:footnoteReference w:id="251"/>
      </w:r>
      <w:r w:rsidR="00BC5ED2">
        <w:rPr>
          <w:color w:val="FF0000"/>
          <w:lang w:val="en-GB"/>
        </w:rPr>
        <w:t>/v</w:t>
      </w:r>
      <w:r w:rsidRPr="00353C2A">
        <w:rPr>
          <w:color w:val="FF0000"/>
          <w:lang w:val="en-GB"/>
        </w:rPr>
        <w:t>ideoconference</w:t>
      </w:r>
    </w:p>
    <w:p w14:paraId="2190D24C" w14:textId="30F24D03" w:rsidR="00654C6D" w:rsidRDefault="00654C6D" w:rsidP="00777A20">
      <w:pPr>
        <w:spacing w:line="360" w:lineRule="auto"/>
        <w:ind w:left="2268"/>
        <w:jc w:val="both"/>
        <w:rPr>
          <w:color w:val="FF0000"/>
          <w:lang w:val="en-GB"/>
        </w:rPr>
      </w:pPr>
      <w:r w:rsidRPr="00777A20">
        <w:rPr>
          <w:color w:val="FF0000"/>
          <w:u w:val="single"/>
          <w:lang w:val="en-GB"/>
        </w:rPr>
        <w:t>Under national law</w:t>
      </w:r>
      <w:r w:rsidRPr="00777A20">
        <w:rPr>
          <w:color w:val="FF0000"/>
          <w:lang w:val="en-GB"/>
        </w:rPr>
        <w:t>, is a videoconference possible with the sole purpose of ensuring the presence of the accused at the trial (i.e. without the purpose of gathering evidence)?</w:t>
      </w:r>
      <w:r w:rsidR="00CE3704">
        <w:rPr>
          <w:rStyle w:val="Funotenzeichen"/>
          <w:color w:val="FF0000"/>
          <w:lang w:val="en-GB"/>
        </w:rPr>
        <w:footnoteReference w:id="252"/>
      </w:r>
      <w:r w:rsidRPr="00777A20">
        <w:rPr>
          <w:color w:val="FF0000"/>
          <w:lang w:val="en-GB"/>
        </w:rPr>
        <w:t xml:space="preserve"> If not: is such a videoconference possible without issuing an EIO?</w:t>
      </w:r>
      <w:r w:rsidRPr="00777A20">
        <w:rPr>
          <w:color w:val="FF0000"/>
          <w:vertAlign w:val="superscript"/>
          <w:lang w:val="en-GB"/>
        </w:rPr>
        <w:footnoteReference w:id="253"/>
      </w:r>
      <w:r w:rsidRPr="00777A20">
        <w:rPr>
          <w:color w:val="FF0000"/>
          <w:lang w:val="en-GB"/>
        </w:rPr>
        <w:t xml:space="preserve"> </w:t>
      </w:r>
    </w:p>
    <w:p w14:paraId="6C040E38" w14:textId="4DE09846" w:rsidR="00BC5ED2" w:rsidRDefault="00BC5ED2" w:rsidP="00BC5ED2">
      <w:pPr>
        <w:spacing w:line="360" w:lineRule="auto"/>
        <w:jc w:val="both"/>
        <w:rPr>
          <w:lang w:val="en-US"/>
        </w:rPr>
      </w:pPr>
      <w:r>
        <w:rPr>
          <w:lang w:val="en-US"/>
        </w:rPr>
        <w:t>German law does not allow the courts to request for a hearing by videoconference for the purpose of enabling the accused person to participate in the trial because the presence of the accused person is mandatory (section 230 CCP</w:t>
      </w:r>
      <w:r w:rsidR="00AF679A">
        <w:rPr>
          <w:lang w:val="en-US"/>
        </w:rPr>
        <w:t xml:space="preserve">; </w:t>
      </w:r>
      <w:r>
        <w:rPr>
          <w:lang w:val="en-US"/>
        </w:rPr>
        <w:t xml:space="preserve">see the exception under section 232(1) CCP); </w:t>
      </w:r>
      <w:r w:rsidR="007D3548">
        <w:rPr>
          <w:lang w:val="en-US"/>
        </w:rPr>
        <w:t xml:space="preserve">in essence presence </w:t>
      </w:r>
      <w:r w:rsidR="00FD2DCC">
        <w:rPr>
          <w:lang w:val="en-US"/>
        </w:rPr>
        <w:t>requires the</w:t>
      </w:r>
      <w:r w:rsidR="007D3548">
        <w:rPr>
          <w:lang w:val="en-US"/>
        </w:rPr>
        <w:t xml:space="preserve"> physical presence in the courtroom, while “indirect participation” </w:t>
      </w:r>
      <w:r w:rsidR="00FD2DCC">
        <w:rPr>
          <w:lang w:val="en-US"/>
        </w:rPr>
        <w:t>by means of a</w:t>
      </w:r>
      <w:r w:rsidR="007D3548">
        <w:rPr>
          <w:lang w:val="en-US"/>
        </w:rPr>
        <w:t xml:space="preserve"> video transmission is not sufficient.</w:t>
      </w:r>
      <w:r w:rsidR="00AA2A57">
        <w:rPr>
          <w:rStyle w:val="Funotenzeichen"/>
          <w:lang w:val="en-US"/>
        </w:rPr>
        <w:footnoteReference w:id="254"/>
      </w:r>
      <w:r w:rsidR="007D3548">
        <w:rPr>
          <w:lang w:val="en-US"/>
        </w:rPr>
        <w:t xml:space="preserve"> A</w:t>
      </w:r>
      <w:r>
        <w:rPr>
          <w:lang w:val="en-US"/>
        </w:rPr>
        <w:t>ccordingly, a hearing by videoconference during the trial is limited to witnesses and experts (section 247a CCP).</w:t>
      </w:r>
      <w:r>
        <w:rPr>
          <w:rStyle w:val="Funotenzeichen"/>
          <w:lang w:val="en-US"/>
        </w:rPr>
        <w:footnoteReference w:id="255"/>
      </w:r>
      <w:r>
        <w:rPr>
          <w:lang w:val="en-US"/>
        </w:rPr>
        <w:t xml:space="preserve"> Whereas </w:t>
      </w:r>
      <w:r w:rsidRPr="0058387E">
        <w:rPr>
          <w:lang w:val="en-US"/>
        </w:rPr>
        <w:t>section 128a of</w:t>
      </w:r>
      <w:r>
        <w:rPr>
          <w:lang w:val="en-US"/>
        </w:rPr>
        <w:t xml:space="preserve"> </w:t>
      </w:r>
      <w:r w:rsidRPr="0058387E">
        <w:rPr>
          <w:lang w:val="en-US"/>
        </w:rPr>
        <w:t>the Code on C</w:t>
      </w:r>
      <w:r>
        <w:rPr>
          <w:lang w:val="en-US"/>
        </w:rPr>
        <w:t>ivil Procedure and similar provisions expressly allow for an oral hearing by videoconference, a criminal trial still requires the physical presence of the accused person because the court shall gain an immediate impression of the accused person.</w:t>
      </w:r>
      <w:r>
        <w:rPr>
          <w:rStyle w:val="Funotenzeichen"/>
          <w:lang w:val="en-US"/>
        </w:rPr>
        <w:footnoteReference w:id="256"/>
      </w:r>
      <w:r>
        <w:rPr>
          <w:lang w:val="en-US"/>
        </w:rPr>
        <w:t xml:space="preserve"> There is, however, an exception to this general rule according to which the accused person may be released from the obligation to be (physically) present at the trial where the expected sentence will not exceed imprisonment for a term of six months or a fine of 180 daily rates (section 233(1) CCP). In this case, the court </w:t>
      </w:r>
      <w:r w:rsidRPr="0033147B">
        <w:rPr>
          <w:lang w:val="en-GB"/>
        </w:rPr>
        <w:t>may examine the accused person by videoconference (section 233(2)3 CCP). Whereas the legislative draft of the government provided for an interrogation by videoconference during the trial</w:t>
      </w:r>
      <w:r>
        <w:rPr>
          <w:rStyle w:val="Funotenzeichen"/>
        </w:rPr>
        <w:footnoteReference w:id="257"/>
      </w:r>
      <w:r w:rsidRPr="0033147B">
        <w:rPr>
          <w:lang w:val="en-GB"/>
        </w:rPr>
        <w:t xml:space="preserve">, the Parliament adopted an amendment that requires the examination of the accused person to be conducted ‘outside the </w:t>
      </w:r>
      <w:r w:rsidRPr="0033147B">
        <w:rPr>
          <w:lang w:val="en-GB"/>
        </w:rPr>
        <w:lastRenderedPageBreak/>
        <w:t>main hearing’</w:t>
      </w:r>
      <w:r>
        <w:rPr>
          <w:lang w:val="en-US"/>
        </w:rPr>
        <w:t xml:space="preserve"> (section 233(2)3 CCP).</w:t>
      </w:r>
      <w:r>
        <w:rPr>
          <w:rStyle w:val="Funotenzeichen"/>
          <w:lang w:val="en-US"/>
        </w:rPr>
        <w:footnoteReference w:id="258"/>
      </w:r>
      <w:r>
        <w:rPr>
          <w:lang w:val="en-US"/>
        </w:rPr>
        <w:t xml:space="preserve"> This amendment might originate from the fact that the interrogation by videoconference has been introduced as an alternative to the examination by a commissioned or requested judge that is usually conducted outside the main hearing (section 233(2)1 CCP). This legislative choice, however, has been subject to severe criticism that the result of the examination is not part of the main hearing and, thus, must be introduced as evidence in the trial (reading out of the protocol on the examination).</w:t>
      </w:r>
      <w:r>
        <w:rPr>
          <w:rStyle w:val="Funotenzeichen"/>
          <w:lang w:val="en-US"/>
        </w:rPr>
        <w:footnoteReference w:id="259"/>
      </w:r>
      <w:r w:rsidR="00980FE0" w:rsidRPr="0033147B">
        <w:rPr>
          <w:lang w:val="en-GB"/>
        </w:rPr>
        <w:t xml:space="preserve"> </w:t>
      </w:r>
      <w:r w:rsidR="00BA6EEF" w:rsidRPr="0033147B">
        <w:rPr>
          <w:lang w:val="en-GB"/>
        </w:rPr>
        <w:t>Accordingly, it is considered equivalent to the participation and the interrogation of the accused person in the main hearing.</w:t>
      </w:r>
      <w:r w:rsidR="00BA6EEF">
        <w:rPr>
          <w:rStyle w:val="Funotenzeichen"/>
        </w:rPr>
        <w:footnoteReference w:id="260"/>
      </w:r>
      <w:r w:rsidR="00BA6EEF" w:rsidRPr="0033147B">
        <w:rPr>
          <w:lang w:val="en-GB"/>
        </w:rPr>
        <w:t xml:space="preserve"> Up to now</w:t>
      </w:r>
      <w:r w:rsidR="00980FE0" w:rsidRPr="0033147B">
        <w:rPr>
          <w:lang w:val="en-GB"/>
        </w:rPr>
        <w:t>, no case has been reported where this provision has been applied</w:t>
      </w:r>
      <w:r w:rsidR="00F03E51">
        <w:rPr>
          <w:lang w:val="en-GB"/>
        </w:rPr>
        <w:t xml:space="preserve">, </w:t>
      </w:r>
      <w:r w:rsidR="008C6178">
        <w:rPr>
          <w:lang w:val="en-GB"/>
        </w:rPr>
        <w:t xml:space="preserve">apparently </w:t>
      </w:r>
      <w:r w:rsidR="00CB7F03">
        <w:rPr>
          <w:lang w:val="en-GB"/>
        </w:rPr>
        <w:t>because the procedure is too cumbersome</w:t>
      </w:r>
      <w:r w:rsidR="004F56AC">
        <w:rPr>
          <w:lang w:val="en-GB"/>
        </w:rPr>
        <w:t>.</w:t>
      </w:r>
      <w:r w:rsidR="00980FE0">
        <w:rPr>
          <w:rStyle w:val="Funotenzeichen"/>
        </w:rPr>
        <w:footnoteReference w:id="261"/>
      </w:r>
      <w:r w:rsidR="00980FE0" w:rsidRPr="0033147B">
        <w:rPr>
          <w:lang w:val="en-GB"/>
        </w:rPr>
        <w:t xml:space="preserve"> </w:t>
      </w:r>
      <w:r>
        <w:rPr>
          <w:lang w:val="en-US"/>
        </w:rPr>
        <w:t>Nevertheless, as far as the trial court may examine the accused person by videoconference, it may issue a</w:t>
      </w:r>
      <w:r w:rsidR="001C67F0">
        <w:rPr>
          <w:lang w:val="en-US"/>
        </w:rPr>
        <w:t>n</w:t>
      </w:r>
      <w:r>
        <w:rPr>
          <w:lang w:val="en-US"/>
        </w:rPr>
        <w:t xml:space="preserve"> EIO (or initiate a request) to that end</w:t>
      </w:r>
      <w:r w:rsidR="005F6668">
        <w:rPr>
          <w:lang w:val="en-US"/>
        </w:rPr>
        <w:t xml:space="preserve"> (see </w:t>
      </w:r>
      <w:r w:rsidR="005F6668">
        <w:rPr>
          <w:i/>
          <w:lang w:val="en-US"/>
        </w:rPr>
        <w:t xml:space="preserve">supra </w:t>
      </w:r>
      <w:r w:rsidR="005F6668">
        <w:rPr>
          <w:lang w:val="en-US"/>
        </w:rPr>
        <w:t>2.1.2.)</w:t>
      </w:r>
      <w:r>
        <w:rPr>
          <w:lang w:val="en-US"/>
        </w:rPr>
        <w:t>.</w:t>
      </w:r>
      <w:r>
        <w:rPr>
          <w:rStyle w:val="Funotenzeichen"/>
          <w:lang w:val="en-US"/>
        </w:rPr>
        <w:footnoteReference w:id="262"/>
      </w:r>
      <w:r w:rsidR="00205683">
        <w:rPr>
          <w:lang w:val="en-US"/>
        </w:rPr>
        <w:t xml:space="preserve"> As far as cooperation with Denmark and Ireland is concerned, these considerations apply accordingly; a corresponding request can be based upon Art. 10 of the EU Convention on Mutual Assistance (Denmark) or Art. 9 of the Second Additional Protocol to the Council of Europe Convention on Mutual Assistance in Criminal Matters (Ireland).</w:t>
      </w:r>
      <w:r w:rsidR="00712A8B">
        <w:rPr>
          <w:rStyle w:val="Funotenzeichen"/>
          <w:lang w:val="en-US"/>
        </w:rPr>
        <w:footnoteReference w:id="263"/>
      </w:r>
    </w:p>
    <w:p w14:paraId="07C73816" w14:textId="5A813BE3" w:rsidR="009E7D72" w:rsidRDefault="009E7D72" w:rsidP="009E7D72">
      <w:pPr>
        <w:spacing w:line="360" w:lineRule="auto"/>
        <w:ind w:left="2124"/>
        <w:jc w:val="both"/>
        <w:rPr>
          <w:lang w:val="en-US"/>
        </w:rPr>
      </w:pPr>
      <w:r w:rsidRPr="00777A20">
        <w:rPr>
          <w:color w:val="FF0000"/>
          <w:lang w:val="en-GB"/>
        </w:rPr>
        <w:t>Is a videoconference possible for the purpose of interrogation of the accused at the trial by the trial court? If not: is such a videoconference possible without issuing an EIO?</w:t>
      </w:r>
    </w:p>
    <w:p w14:paraId="00BF463D" w14:textId="360F8D1E" w:rsidR="009E7D72" w:rsidRPr="00777A20" w:rsidRDefault="009E7D72" w:rsidP="00BC5ED2">
      <w:pPr>
        <w:spacing w:line="360" w:lineRule="auto"/>
        <w:jc w:val="both"/>
        <w:rPr>
          <w:color w:val="FF0000"/>
          <w:lang w:val="en-GB"/>
        </w:rPr>
      </w:pPr>
      <w:r w:rsidRPr="005F0F78">
        <w:rPr>
          <w:lang w:val="en-US"/>
        </w:rPr>
        <w:t xml:space="preserve">As has been mentioned before, </w:t>
      </w:r>
      <w:r>
        <w:rPr>
          <w:lang w:val="en-US"/>
        </w:rPr>
        <w:t xml:space="preserve">German law does not allow for a trial </w:t>
      </w:r>
      <w:r w:rsidRPr="005F0F78">
        <w:rPr>
          <w:i/>
          <w:lang w:val="en-US"/>
        </w:rPr>
        <w:t>in absentia</w:t>
      </w:r>
      <w:r>
        <w:rPr>
          <w:lang w:val="en-US"/>
        </w:rPr>
        <w:t>. Nevertheless, an interrogation by videoconference may be considered where the accused person is released from the obligation to appear before court (</w:t>
      </w:r>
      <w:r>
        <w:rPr>
          <w:i/>
          <w:lang w:val="en-US"/>
        </w:rPr>
        <w:t xml:space="preserve">supra </w:t>
      </w:r>
      <w:r>
        <w:rPr>
          <w:lang w:val="en-US"/>
        </w:rPr>
        <w:t>on the previous question). As far as this exception applies, a</w:t>
      </w:r>
      <w:r w:rsidR="001C67F0">
        <w:rPr>
          <w:lang w:val="en-US"/>
        </w:rPr>
        <w:t>n</w:t>
      </w:r>
      <w:r>
        <w:rPr>
          <w:lang w:val="en-US"/>
        </w:rPr>
        <w:t xml:space="preserve"> EIO may be issued for this purpose.</w:t>
      </w:r>
    </w:p>
    <w:p w14:paraId="05A1C0D7" w14:textId="147D63F3" w:rsidR="00654C6D" w:rsidRDefault="00654C6D" w:rsidP="00777A20">
      <w:pPr>
        <w:spacing w:line="360" w:lineRule="auto"/>
        <w:ind w:left="2268"/>
        <w:jc w:val="both"/>
        <w:rPr>
          <w:color w:val="FF0000"/>
          <w:lang w:val="en-GB"/>
        </w:rPr>
      </w:pPr>
      <w:r w:rsidRPr="00777A20">
        <w:rPr>
          <w:color w:val="FF0000"/>
          <w:u w:val="single"/>
          <w:lang w:val="en-GB"/>
        </w:rPr>
        <w:t>Under national law</w:t>
      </w:r>
      <w:r w:rsidRPr="002B2DC3">
        <w:rPr>
          <w:color w:val="FF0000"/>
          <w:lang w:val="en-GB"/>
        </w:rPr>
        <w:t>, is a temporary transfer possible for the sole purpose of ensuring the presence of the accused at the trial (i.e. without the purpose of gathering evidence)? Is a temporary transfer possible for the purpose of interrogation of the accused at the trial by the trial court?</w:t>
      </w:r>
    </w:p>
    <w:p w14:paraId="775EC7C0" w14:textId="0DA57977" w:rsidR="00BC5ED2" w:rsidRDefault="00BC5ED2" w:rsidP="00BC5ED2">
      <w:pPr>
        <w:spacing w:line="360" w:lineRule="auto"/>
        <w:jc w:val="both"/>
        <w:rPr>
          <w:lang w:val="en-US"/>
        </w:rPr>
      </w:pPr>
      <w:r w:rsidRPr="00882403">
        <w:rPr>
          <w:lang w:val="en-US"/>
        </w:rPr>
        <w:lastRenderedPageBreak/>
        <w:t>As has been mentioned before</w:t>
      </w:r>
      <w:r>
        <w:rPr>
          <w:lang w:val="en-US"/>
        </w:rPr>
        <w:t xml:space="preserve"> (</w:t>
      </w:r>
      <w:r>
        <w:rPr>
          <w:i/>
          <w:lang w:val="en-US"/>
        </w:rPr>
        <w:t xml:space="preserve">supra </w:t>
      </w:r>
      <w:r>
        <w:rPr>
          <w:lang w:val="en-US"/>
        </w:rPr>
        <w:t>2.1.1.)</w:t>
      </w:r>
      <w:r w:rsidRPr="00882403">
        <w:rPr>
          <w:lang w:val="en-US"/>
        </w:rPr>
        <w:t xml:space="preserve">, </w:t>
      </w:r>
      <w:r>
        <w:rPr>
          <w:lang w:val="en-US"/>
        </w:rPr>
        <w:t>the transfer of an accused person who is detained in another Member State, cannot be requested by a</w:t>
      </w:r>
      <w:r w:rsidR="001C67F0">
        <w:rPr>
          <w:lang w:val="en-US"/>
        </w:rPr>
        <w:t>n</w:t>
      </w:r>
      <w:r>
        <w:rPr>
          <w:lang w:val="en-US"/>
        </w:rPr>
        <w:t xml:space="preserve"> EIO because the EAW is the suitable and primary cooperation instrument for the surrender of accused persons for the purpose of prosecution (recital (25) DR 2014/41/EU).</w:t>
      </w:r>
      <w:r>
        <w:rPr>
          <w:rStyle w:val="Funotenzeichen"/>
          <w:lang w:val="en-US"/>
        </w:rPr>
        <w:footnoteReference w:id="264"/>
      </w:r>
      <w:r w:rsidR="00BA6EEF" w:rsidRPr="00BA6EEF">
        <w:rPr>
          <w:lang w:val="en-US"/>
        </w:rPr>
        <w:t xml:space="preserve"> </w:t>
      </w:r>
      <w:r w:rsidR="00BA6EEF">
        <w:rPr>
          <w:lang w:val="en-US"/>
        </w:rPr>
        <w:t xml:space="preserve">The option of temporary surrender (Art. 24(2) FD 2002/584/JHA) has not yet been implemented by the German legislator (see </w:t>
      </w:r>
      <w:r w:rsidR="00BA6EEF">
        <w:rPr>
          <w:i/>
          <w:lang w:val="en-US"/>
        </w:rPr>
        <w:t>supra</w:t>
      </w:r>
      <w:r w:rsidR="00BA6EEF">
        <w:rPr>
          <w:lang w:val="en-US"/>
        </w:rPr>
        <w:t xml:space="preserve"> 2.1.1.); a corresponding provision in German law would enable the trial court to ensure the availability (and the presence) of the suspect in the trial phase.</w:t>
      </w:r>
      <w:r w:rsidR="00BA6EEF">
        <w:rPr>
          <w:rStyle w:val="Funotenzeichen"/>
          <w:lang w:val="en-US"/>
        </w:rPr>
        <w:footnoteReference w:id="265"/>
      </w:r>
    </w:p>
    <w:p w14:paraId="0BE0FC2C" w14:textId="77777777" w:rsidR="00BC5ED2" w:rsidRPr="00777A20" w:rsidRDefault="00BC5ED2" w:rsidP="009E7D72">
      <w:pPr>
        <w:spacing w:line="360" w:lineRule="auto"/>
        <w:jc w:val="both"/>
        <w:rPr>
          <w:color w:val="FF0000"/>
          <w:lang w:val="en-GB"/>
        </w:rPr>
      </w:pPr>
    </w:p>
    <w:p w14:paraId="506A7CDC" w14:textId="77777777" w:rsidR="001A090D" w:rsidRPr="007C0356" w:rsidRDefault="001A090D" w:rsidP="00777A20">
      <w:pPr>
        <w:pStyle w:val="Listenabsatz"/>
        <w:numPr>
          <w:ilvl w:val="0"/>
          <w:numId w:val="33"/>
        </w:numPr>
        <w:spacing w:line="360" w:lineRule="auto"/>
        <w:ind w:left="2410" w:hanging="142"/>
        <w:jc w:val="both"/>
        <w:rPr>
          <w:lang w:val="fr-FR"/>
        </w:rPr>
      </w:pPr>
      <w:r w:rsidRPr="007C0356">
        <w:rPr>
          <w:lang w:val="fr-FR"/>
        </w:rPr>
        <w:t>EU Convention on Mutual Assistance</w:t>
      </w:r>
    </w:p>
    <w:p w14:paraId="2A8D8E14" w14:textId="4D6B0D3E" w:rsidR="009E7D72" w:rsidRPr="00EE04F1" w:rsidRDefault="009E7D72" w:rsidP="009E7D72">
      <w:pPr>
        <w:spacing w:line="360" w:lineRule="auto"/>
        <w:jc w:val="both"/>
        <w:rPr>
          <w:lang w:val="en-GB"/>
        </w:rPr>
      </w:pPr>
      <w:r>
        <w:rPr>
          <w:lang w:val="en-US"/>
        </w:rPr>
        <w:t>If the accused person is another Member State, the trial court may serve a summons to him (Art. 5 EU Convention on Mutual Assistance).</w:t>
      </w:r>
      <w:r w:rsidR="00B25ABA" w:rsidRPr="00EE04F1">
        <w:rPr>
          <w:lang w:val="en-GB"/>
        </w:rPr>
        <w:t xml:space="preserve"> However, as German law does not allow for trials </w:t>
      </w:r>
      <w:r w:rsidR="00B25ABA" w:rsidRPr="00EE04F1">
        <w:rPr>
          <w:i/>
          <w:lang w:val="en-GB"/>
        </w:rPr>
        <w:t>in absentia</w:t>
      </w:r>
      <w:r w:rsidR="00B25ABA" w:rsidRPr="00EE04F1">
        <w:rPr>
          <w:lang w:val="en-GB"/>
        </w:rPr>
        <w:t xml:space="preserve">, serving a summons to the accused person for the sole purpose of an interrogation would be in breach with the </w:t>
      </w:r>
      <w:r w:rsidR="0041561B" w:rsidRPr="00EE04F1">
        <w:rPr>
          <w:lang w:val="en-GB"/>
        </w:rPr>
        <w:t>rules of procedure.</w:t>
      </w:r>
    </w:p>
    <w:p w14:paraId="2044D79E" w14:textId="26A7349F" w:rsidR="001A090D" w:rsidRPr="00353C2A" w:rsidRDefault="001A090D" w:rsidP="00777A20">
      <w:pPr>
        <w:spacing w:line="360" w:lineRule="auto"/>
        <w:ind w:left="2268"/>
        <w:jc w:val="both"/>
        <w:rPr>
          <w:color w:val="FF0000"/>
          <w:lang w:val="en-GB"/>
        </w:rPr>
      </w:pPr>
    </w:p>
    <w:p w14:paraId="0C109E1F" w14:textId="77777777" w:rsidR="001A090D" w:rsidRPr="007C0356" w:rsidRDefault="001A090D" w:rsidP="00777A20">
      <w:pPr>
        <w:pStyle w:val="Listenabsatz"/>
        <w:numPr>
          <w:ilvl w:val="0"/>
          <w:numId w:val="33"/>
        </w:numPr>
        <w:spacing w:line="360" w:lineRule="auto"/>
        <w:ind w:left="2410" w:hanging="142"/>
        <w:jc w:val="both"/>
        <w:rPr>
          <w:lang w:val="en-GB"/>
        </w:rPr>
      </w:pPr>
      <w:r w:rsidRPr="007C0356">
        <w:rPr>
          <w:lang w:val="en-GB"/>
        </w:rPr>
        <w:t>Convention on Transfer of Proceedings/European Convention on Mutual Assistance in Criminal Matters</w:t>
      </w:r>
    </w:p>
    <w:p w14:paraId="5AB7F4EE" w14:textId="77777777" w:rsidR="009E7D72" w:rsidRDefault="001A090D" w:rsidP="00777A20">
      <w:pPr>
        <w:spacing w:line="360" w:lineRule="auto"/>
        <w:ind w:left="2268"/>
        <w:jc w:val="both"/>
        <w:rPr>
          <w:color w:val="FF0000"/>
          <w:lang w:val="en-GB"/>
        </w:rPr>
      </w:pPr>
      <w:r w:rsidRPr="00353C2A">
        <w:rPr>
          <w:color w:val="FF0000"/>
          <w:lang w:val="en-GB"/>
        </w:rPr>
        <w:t>Transfer of proceedings to the MS where t</w:t>
      </w:r>
      <w:bookmarkStart w:id="200" w:name="_Hlk142645359"/>
      <w:r w:rsidR="007C0356">
        <w:rPr>
          <w:color w:val="FF0000"/>
          <w:lang w:val="en-GB"/>
        </w:rPr>
        <w:t>he person concerned is present. T</w:t>
      </w:r>
      <w:r w:rsidRPr="00353C2A">
        <w:rPr>
          <w:color w:val="FF0000"/>
          <w:lang w:val="en-GB"/>
        </w:rPr>
        <w:t xml:space="preserve">his is not an instrument that provides for executing investigative measure/prosecution in the issuing MS, e.g. interrogation. However, given that the person concerned is present in another MS and his statement is needed, transferring the proceedings to the MS of residence may be an option. Is it possible </w:t>
      </w:r>
      <w:r w:rsidRPr="00353C2A">
        <w:rPr>
          <w:color w:val="FF0000"/>
          <w:u w:val="single"/>
          <w:lang w:val="en-GB"/>
        </w:rPr>
        <w:t>under national law</w:t>
      </w:r>
      <w:r w:rsidRPr="00353C2A">
        <w:rPr>
          <w:color w:val="FF0000"/>
          <w:lang w:val="en-GB"/>
        </w:rPr>
        <w:t xml:space="preserve"> to transfer proceedings that are at the trial stage</w:t>
      </w:r>
      <w:r w:rsidR="00D30852">
        <w:rPr>
          <w:color w:val="FF0000"/>
          <w:lang w:val="en-GB"/>
        </w:rPr>
        <w:t>, and if so, under what conditions</w:t>
      </w:r>
      <w:r w:rsidRPr="00353C2A">
        <w:rPr>
          <w:color w:val="FF0000"/>
          <w:lang w:val="en-GB"/>
        </w:rPr>
        <w:t>?</w:t>
      </w:r>
    </w:p>
    <w:p w14:paraId="49A5ACCF" w14:textId="1FAD4CC5" w:rsidR="009E7D72" w:rsidRDefault="009E7D72" w:rsidP="00CB796C">
      <w:pPr>
        <w:spacing w:line="360" w:lineRule="auto"/>
        <w:jc w:val="both"/>
        <w:rPr>
          <w:lang w:val="en-GB"/>
        </w:rPr>
      </w:pPr>
      <w:r>
        <w:rPr>
          <w:lang w:val="en-US"/>
        </w:rPr>
        <w:t xml:space="preserve">A transfer of criminal proceedings is not limited to the pre-trial stage. According to No. 146(3) </w:t>
      </w:r>
      <w:r>
        <w:rPr>
          <w:lang w:val="en-GB"/>
        </w:rPr>
        <w:t>GICCM, the request to take criminal proceedings shall be accompanied by the indictment or judgment that has been filed or delivered in the proceedings to be transferred. This implies that criminal proceedings may still be transferred at the trial stage.</w:t>
      </w:r>
      <w:r w:rsidR="00BA6EEF">
        <w:rPr>
          <w:rStyle w:val="Funotenzeichen"/>
          <w:lang w:val="en-GB"/>
        </w:rPr>
        <w:footnoteReference w:id="266"/>
      </w:r>
      <w:r>
        <w:rPr>
          <w:lang w:val="en-GB"/>
        </w:rPr>
        <w:t xml:space="preserve"> </w:t>
      </w:r>
      <w:r w:rsidR="00233D9F">
        <w:rPr>
          <w:lang w:val="en-GB"/>
        </w:rPr>
        <w:t>T</w:t>
      </w:r>
      <w:r w:rsidR="00DF239C">
        <w:rPr>
          <w:lang w:val="en-GB"/>
        </w:rPr>
        <w:t>he request form (Annex I</w:t>
      </w:r>
      <w:r w:rsidR="00A9417E">
        <w:rPr>
          <w:lang w:val="en-GB"/>
        </w:rPr>
        <w:t>, Section D(2)</w:t>
      </w:r>
      <w:r w:rsidR="00DF239C">
        <w:rPr>
          <w:lang w:val="en-GB"/>
        </w:rPr>
        <w:t xml:space="preserve">) of </w:t>
      </w:r>
      <w:r w:rsidR="0012405C">
        <w:rPr>
          <w:lang w:val="en-US"/>
        </w:rPr>
        <w:t>Regulation (EU) 2024/3011 on the transfer of proceedings in criminal matters</w:t>
      </w:r>
      <w:r w:rsidR="0012405C" w:rsidDel="0012405C">
        <w:rPr>
          <w:lang w:val="en-GB"/>
        </w:rPr>
        <w:t xml:space="preserve"> </w:t>
      </w:r>
      <w:r w:rsidR="00A11C14">
        <w:rPr>
          <w:lang w:val="en-GB"/>
        </w:rPr>
        <w:t xml:space="preserve"> </w:t>
      </w:r>
      <w:r w:rsidR="00DF239C">
        <w:rPr>
          <w:lang w:val="en-GB"/>
        </w:rPr>
        <w:lastRenderedPageBreak/>
        <w:t xml:space="preserve">also lists the trial as a possible stage </w:t>
      </w:r>
      <w:r w:rsidR="00A604F3">
        <w:rPr>
          <w:lang w:val="en-GB"/>
        </w:rPr>
        <w:t>to transfer</w:t>
      </w:r>
      <w:r w:rsidR="00DF239C">
        <w:rPr>
          <w:lang w:val="en-GB"/>
        </w:rPr>
        <w:t xml:space="preserve"> proceedings.</w:t>
      </w:r>
      <w:r w:rsidR="00A604F3">
        <w:rPr>
          <w:lang w:val="en-GB"/>
        </w:rPr>
        <w:t xml:space="preserve"> </w:t>
      </w:r>
      <w:r>
        <w:rPr>
          <w:lang w:val="en-GB"/>
        </w:rPr>
        <w:t>However, in most cases, a transfer of proceedings in the pre-trial stage will be more efficient and save resources of the criminal justice system. Public prosecutors could not report of a single case where criminal proceedings had been transferred at the trial stage.</w:t>
      </w:r>
      <w:r>
        <w:rPr>
          <w:rStyle w:val="Funotenzeichen"/>
          <w:lang w:val="en-GB"/>
        </w:rPr>
        <w:footnoteReference w:id="267"/>
      </w:r>
    </w:p>
    <w:p w14:paraId="56933977" w14:textId="77777777" w:rsidR="00CE05D6" w:rsidRDefault="00CE05D6" w:rsidP="00CB796C">
      <w:pPr>
        <w:spacing w:line="360" w:lineRule="auto"/>
        <w:jc w:val="both"/>
        <w:rPr>
          <w:lang w:val="en-GB"/>
        </w:rPr>
      </w:pPr>
    </w:p>
    <w:bookmarkEnd w:id="200"/>
    <w:p w14:paraId="220D37C9" w14:textId="305F6970" w:rsidR="001A090D" w:rsidRPr="00353C2A" w:rsidRDefault="007E164A" w:rsidP="00777A20">
      <w:pPr>
        <w:spacing w:line="360" w:lineRule="auto"/>
        <w:ind w:left="1843"/>
        <w:jc w:val="both"/>
        <w:rPr>
          <w:lang w:val="en-GB"/>
        </w:rPr>
      </w:pPr>
      <w:r>
        <w:rPr>
          <w:lang w:val="en-GB"/>
        </w:rPr>
        <w:t xml:space="preserve"> </w:t>
      </w:r>
      <w:r w:rsidR="007C0356">
        <w:rPr>
          <w:lang w:val="en-GB"/>
        </w:rPr>
        <w:t xml:space="preserve">(bb) Ensuring that the </w:t>
      </w:r>
      <w:r w:rsidR="001A090D" w:rsidRPr="00353C2A">
        <w:rPr>
          <w:lang w:val="en-GB"/>
        </w:rPr>
        <w:t>suspect is available</w:t>
      </w:r>
    </w:p>
    <w:p w14:paraId="490C3C12" w14:textId="26BCE159" w:rsidR="00AC7D3E" w:rsidRPr="00AC7D3E" w:rsidRDefault="001A090D" w:rsidP="00AC7D3E">
      <w:pPr>
        <w:pStyle w:val="Listenabsatz"/>
        <w:numPr>
          <w:ilvl w:val="0"/>
          <w:numId w:val="33"/>
        </w:numPr>
        <w:spacing w:line="360" w:lineRule="auto"/>
        <w:ind w:left="2410" w:hanging="142"/>
        <w:jc w:val="both"/>
        <w:rPr>
          <w:lang w:val="en-GB"/>
        </w:rPr>
      </w:pPr>
      <w:r w:rsidRPr="007C0356">
        <w:rPr>
          <w:lang w:val="en-GB"/>
        </w:rPr>
        <w:t xml:space="preserve">FD 2009/829/JHA </w:t>
      </w:r>
      <w:r w:rsidRPr="007C0356">
        <w:rPr>
          <w:color w:val="FF0000"/>
          <w:lang w:val="en-GB"/>
        </w:rPr>
        <w:t>(?)</w:t>
      </w:r>
    </w:p>
    <w:p w14:paraId="5CC6C7F2" w14:textId="455D91F8" w:rsidR="001A090D" w:rsidRDefault="001A090D" w:rsidP="00777A20">
      <w:pPr>
        <w:spacing w:line="360" w:lineRule="auto"/>
        <w:ind w:left="2268"/>
        <w:jc w:val="both"/>
        <w:rPr>
          <w:color w:val="FF0000"/>
          <w:lang w:val="en-GB"/>
        </w:rPr>
      </w:pPr>
      <w:r w:rsidRPr="00353C2A">
        <w:rPr>
          <w:color w:val="FF0000"/>
          <w:lang w:val="en-GB"/>
        </w:rPr>
        <w:t xml:space="preserve">Is it possible </w:t>
      </w:r>
      <w:r w:rsidRPr="00353C2A">
        <w:rPr>
          <w:color w:val="FF0000"/>
          <w:u w:val="single"/>
          <w:lang w:val="en-GB"/>
        </w:rPr>
        <w:t>under national law</w:t>
      </w:r>
      <w:r w:rsidRPr="00353C2A">
        <w:rPr>
          <w:color w:val="FF0000"/>
          <w:lang w:val="en-GB"/>
        </w:rPr>
        <w:t xml:space="preserve"> to issue an ESO, when the person concerned is in </w:t>
      </w:r>
      <w:r w:rsidR="0018691F">
        <w:rPr>
          <w:color w:val="FF0000"/>
          <w:lang w:val="en-GB"/>
        </w:rPr>
        <w:t>the</w:t>
      </w:r>
      <w:r w:rsidRPr="00353C2A">
        <w:rPr>
          <w:color w:val="FF0000"/>
          <w:lang w:val="en-GB"/>
        </w:rPr>
        <w:t xml:space="preserve"> MS </w:t>
      </w:r>
      <w:r w:rsidR="0018691F">
        <w:rPr>
          <w:color w:val="FF0000"/>
          <w:lang w:val="en-GB"/>
        </w:rPr>
        <w:t xml:space="preserve">of his lawful and ordinary residence </w:t>
      </w:r>
      <w:r w:rsidRPr="00353C2A">
        <w:rPr>
          <w:color w:val="FF0000"/>
          <w:lang w:val="en-GB"/>
        </w:rPr>
        <w:t>and detention is not ordered?</w:t>
      </w:r>
    </w:p>
    <w:p w14:paraId="452D67FB" w14:textId="3A18F440" w:rsidR="000C2CAB" w:rsidRPr="000C2CAB" w:rsidRDefault="00AC7D3E" w:rsidP="00AC7D3E">
      <w:pPr>
        <w:spacing w:line="360" w:lineRule="auto"/>
        <w:jc w:val="both"/>
        <w:rPr>
          <w:lang w:val="en-GB"/>
        </w:rPr>
      </w:pPr>
      <w:r w:rsidRPr="00AC7D3E">
        <w:rPr>
          <w:lang w:val="en-US"/>
        </w:rPr>
        <w:t>In the trial stage, the trial court is competent to suspend the execution of the arrest warrant, to adopt supervision measures and to issue a</w:t>
      </w:r>
      <w:r w:rsidR="001C67F0">
        <w:rPr>
          <w:lang w:val="en-US"/>
        </w:rPr>
        <w:t>n</w:t>
      </w:r>
      <w:r w:rsidRPr="00AC7D3E">
        <w:rPr>
          <w:lang w:val="en-US"/>
        </w:rPr>
        <w:t xml:space="preserve"> ESO (sections 90y AICCM, 126(2) CCP).</w:t>
      </w:r>
      <w:r>
        <w:rPr>
          <w:lang w:val="en-US"/>
        </w:rPr>
        <w:t xml:space="preserve"> However, a</w:t>
      </w:r>
      <w:r w:rsidRPr="00AC7D3E">
        <w:rPr>
          <w:lang w:val="en-US"/>
        </w:rPr>
        <w:t>s in the pre-trial stage (</w:t>
      </w:r>
      <w:r w:rsidRPr="00AC7D3E">
        <w:rPr>
          <w:i/>
          <w:lang w:val="en-US"/>
        </w:rPr>
        <w:t xml:space="preserve">supra </w:t>
      </w:r>
      <w:r w:rsidRPr="00AC7D3E">
        <w:rPr>
          <w:lang w:val="en-US"/>
        </w:rPr>
        <w:t>2.2.1), an arrest warrant ordering detention on remand is a precondition to issuing a</w:t>
      </w:r>
      <w:r w:rsidR="001C67F0">
        <w:rPr>
          <w:lang w:val="en-US"/>
        </w:rPr>
        <w:t>n</w:t>
      </w:r>
      <w:r w:rsidRPr="00AC7D3E">
        <w:rPr>
          <w:lang w:val="en-US"/>
        </w:rPr>
        <w:t xml:space="preserve"> ESO. </w:t>
      </w:r>
      <w:r w:rsidR="00BA6EEF">
        <w:rPr>
          <w:lang w:val="en-US"/>
        </w:rPr>
        <w:t>If the accused person does not appear before court, the trial court will usually issue a</w:t>
      </w:r>
      <w:r w:rsidR="00127DD2">
        <w:rPr>
          <w:lang w:val="en-US"/>
        </w:rPr>
        <w:t>n</w:t>
      </w:r>
      <w:r w:rsidR="00BA6EEF">
        <w:rPr>
          <w:lang w:val="en-US"/>
        </w:rPr>
        <w:t xml:space="preserve"> EAW; if the person has been surrendered, the court will decide upon whether the execution of the (domestic) arrest warrant is suspended.</w:t>
      </w:r>
      <w:r w:rsidR="00BA6EEF">
        <w:rPr>
          <w:rStyle w:val="Funotenzeichen"/>
          <w:lang w:val="en-US"/>
        </w:rPr>
        <w:footnoteReference w:id="268"/>
      </w:r>
      <w:r w:rsidR="009D3AEE">
        <w:rPr>
          <w:lang w:val="en-US"/>
        </w:rPr>
        <w:t xml:space="preserve"> </w:t>
      </w:r>
      <w:r w:rsidR="000C2CAB">
        <w:rPr>
          <w:lang w:val="en-GB"/>
        </w:rPr>
        <w:t xml:space="preserve">These rules apply accordingly where the accused person has returned to his home country (see </w:t>
      </w:r>
      <w:r w:rsidR="000C2CAB">
        <w:rPr>
          <w:i/>
          <w:lang w:val="en-GB"/>
        </w:rPr>
        <w:t xml:space="preserve">supra </w:t>
      </w:r>
      <w:r w:rsidR="000C2CAB">
        <w:rPr>
          <w:lang w:val="en-GB"/>
        </w:rPr>
        <w:t>2.</w:t>
      </w:r>
      <w:r w:rsidR="009D3AEE">
        <w:rPr>
          <w:lang w:val="en-GB"/>
        </w:rPr>
        <w:t>2.1. (b)</w:t>
      </w:r>
      <w:r w:rsidR="000C2CAB">
        <w:rPr>
          <w:lang w:val="en-GB"/>
        </w:rPr>
        <w:t>).</w:t>
      </w:r>
    </w:p>
    <w:p w14:paraId="371DCC21" w14:textId="77777777" w:rsidR="00AC7D3E" w:rsidRPr="00DC676A" w:rsidRDefault="00AC7D3E" w:rsidP="00AC7D3E">
      <w:pPr>
        <w:spacing w:line="360" w:lineRule="auto"/>
        <w:jc w:val="both"/>
        <w:rPr>
          <w:color w:val="FF0000"/>
          <w:lang w:val="en-US"/>
        </w:rPr>
      </w:pPr>
    </w:p>
    <w:p w14:paraId="50F1678E" w14:textId="77777777" w:rsidR="001A090D" w:rsidRPr="007C0356" w:rsidRDefault="001A090D" w:rsidP="00777A20">
      <w:pPr>
        <w:pStyle w:val="Listenabsatz"/>
        <w:numPr>
          <w:ilvl w:val="0"/>
          <w:numId w:val="33"/>
        </w:numPr>
        <w:spacing w:line="360" w:lineRule="auto"/>
        <w:ind w:left="2410" w:hanging="142"/>
        <w:jc w:val="both"/>
        <w:rPr>
          <w:lang w:val="fr-FR"/>
        </w:rPr>
      </w:pPr>
      <w:r w:rsidRPr="007C0356">
        <w:rPr>
          <w:lang w:val="fr-FR"/>
        </w:rPr>
        <w:t>EU Convention on Mutual Assistance</w:t>
      </w:r>
    </w:p>
    <w:p w14:paraId="581E87DA" w14:textId="77777777" w:rsidR="001A090D" w:rsidRDefault="001A090D" w:rsidP="00777A20">
      <w:pPr>
        <w:spacing w:line="360" w:lineRule="auto"/>
        <w:ind w:left="2268"/>
        <w:jc w:val="both"/>
        <w:rPr>
          <w:color w:val="FF0000"/>
          <w:lang w:val="en-GB"/>
        </w:rPr>
      </w:pPr>
      <w:r w:rsidRPr="00353C2A">
        <w:rPr>
          <w:color w:val="FF0000"/>
          <w:lang w:val="en-GB"/>
        </w:rPr>
        <w:t>Keeping in contact with him while he’s abroad (sending/service documents)</w:t>
      </w:r>
    </w:p>
    <w:p w14:paraId="10CA6D3E" w14:textId="5666D916" w:rsidR="005619EA" w:rsidRDefault="00AC7D3E" w:rsidP="005619EA">
      <w:pPr>
        <w:spacing w:line="360" w:lineRule="auto"/>
        <w:jc w:val="both"/>
        <w:rPr>
          <w:lang w:val="en-GB"/>
        </w:rPr>
      </w:pPr>
      <w:r>
        <w:rPr>
          <w:lang w:val="en-US"/>
        </w:rPr>
        <w:t xml:space="preserve">If the accused person is </w:t>
      </w:r>
      <w:r w:rsidR="00487BCD">
        <w:rPr>
          <w:lang w:val="en-US"/>
        </w:rPr>
        <w:t xml:space="preserve">in </w:t>
      </w:r>
      <w:r>
        <w:rPr>
          <w:lang w:val="en-US"/>
        </w:rPr>
        <w:t>another M</w:t>
      </w:r>
      <w:r w:rsidR="00B25ABA">
        <w:rPr>
          <w:lang w:val="en-US"/>
        </w:rPr>
        <w:t xml:space="preserve">ember State, the trial court may serve documents </w:t>
      </w:r>
      <w:r>
        <w:rPr>
          <w:lang w:val="en-US"/>
        </w:rPr>
        <w:t>to him (Art. 5 EU Convention on Mutual Assistan</w:t>
      </w:r>
      <w:r w:rsidR="00B25ABA">
        <w:rPr>
          <w:lang w:val="en-US"/>
        </w:rPr>
        <w:t xml:space="preserve">ce). </w:t>
      </w:r>
      <w:r w:rsidR="0041561B">
        <w:rPr>
          <w:lang w:val="en-US"/>
        </w:rPr>
        <w:t xml:space="preserve">Moreover, </w:t>
      </w:r>
      <w:r w:rsidR="0041561B">
        <w:rPr>
          <w:lang w:val="en-GB"/>
        </w:rPr>
        <w:t>d</w:t>
      </w:r>
      <w:r w:rsidR="0041561B" w:rsidRPr="0041561B">
        <w:rPr>
          <w:lang w:val="en-GB"/>
        </w:rPr>
        <w:t>ue to the accused person’s right to be present at the trial, the court must summon the accused person and provide him with the information that is necessary to exercise his right to participate in the trial.</w:t>
      </w:r>
      <w:r w:rsidR="00BA6EEF" w:rsidRPr="00BA6EEF">
        <w:rPr>
          <w:lang w:val="en-US"/>
        </w:rPr>
        <w:t xml:space="preserve"> </w:t>
      </w:r>
      <w:r w:rsidR="00BA6EEF">
        <w:rPr>
          <w:lang w:val="en-US"/>
        </w:rPr>
        <w:t xml:space="preserve">In practice, it is often difficult to establish that the summons has been served to the defendant so that he is actually aware of the trial (see also </w:t>
      </w:r>
      <w:r w:rsidR="00BA6EEF">
        <w:rPr>
          <w:i/>
          <w:lang w:val="en-US"/>
        </w:rPr>
        <w:t xml:space="preserve">supra </w:t>
      </w:r>
      <w:r w:rsidR="00BA6EEF">
        <w:rPr>
          <w:lang w:val="en-US"/>
        </w:rPr>
        <w:t>2.1.1.); in this regard a harmoni</w:t>
      </w:r>
      <w:r w:rsidR="00FB608A">
        <w:rPr>
          <w:lang w:val="en-US"/>
        </w:rPr>
        <w:t>z</w:t>
      </w:r>
      <w:r w:rsidR="00BA6EEF">
        <w:rPr>
          <w:lang w:val="en-US"/>
        </w:rPr>
        <w:t>ed framework for serving summons and other documents would be useful.</w:t>
      </w:r>
      <w:r w:rsidR="00BA6EEF">
        <w:rPr>
          <w:rStyle w:val="Funotenzeichen"/>
          <w:lang w:val="en-US"/>
        </w:rPr>
        <w:footnoteReference w:id="269"/>
      </w:r>
      <w:r w:rsidR="00BA6EEF">
        <w:rPr>
          <w:lang w:val="en-US"/>
        </w:rPr>
        <w:t xml:space="preserve"> If the accused person has a defence counsel, this problem is usually addressed by serving the summons to the counsel, provided that he is authorized to accept the service of documents addressed to the accused person.</w:t>
      </w:r>
      <w:r w:rsidR="00BA6EEF">
        <w:rPr>
          <w:rStyle w:val="Funotenzeichen"/>
          <w:lang w:val="en-US"/>
        </w:rPr>
        <w:footnoteReference w:id="270"/>
      </w:r>
    </w:p>
    <w:p w14:paraId="5785D658" w14:textId="5DF9091C" w:rsidR="00877538" w:rsidRDefault="00735CBE" w:rsidP="009E0137">
      <w:pPr>
        <w:spacing w:line="360" w:lineRule="auto"/>
        <w:jc w:val="both"/>
        <w:rPr>
          <w:lang w:val="en-US"/>
        </w:rPr>
      </w:pPr>
      <w:r>
        <w:rPr>
          <w:lang w:val="en-US"/>
        </w:rPr>
        <w:lastRenderedPageBreak/>
        <w:t xml:space="preserve">The summons is served without a warning </w:t>
      </w:r>
      <w:r w:rsidRPr="00301F6E">
        <w:rPr>
          <w:lang w:val="en-US"/>
        </w:rPr>
        <w:t>he will be arrested and brought before the court if he fails to appear</w:t>
      </w:r>
      <w:r>
        <w:rPr>
          <w:lang w:val="en-US"/>
        </w:rPr>
        <w:t xml:space="preserve"> (see for domestic cases: section 216(1)1 CCP) because the issuing state must not exercise its jurisdiction to enforce on the territory of a foreign state; therefore, the warning is added a note that coercive measures are not executed on the territory of the requested state (No. 116(1)2 GICCM).</w:t>
      </w:r>
      <w:r>
        <w:rPr>
          <w:rStyle w:val="Funotenzeichen"/>
          <w:lang w:val="en-US"/>
        </w:rPr>
        <w:footnoteReference w:id="271"/>
      </w:r>
      <w:r w:rsidR="009E0137">
        <w:rPr>
          <w:lang w:val="en-US"/>
        </w:rPr>
        <w:t xml:space="preserve"> From the perspective of the defendant, the information that he cannot be arrested in a foreign state it would be misleading if the German authorities could issue a</w:t>
      </w:r>
      <w:r w:rsidR="00127DD2">
        <w:rPr>
          <w:lang w:val="en-US"/>
        </w:rPr>
        <w:t>n</w:t>
      </w:r>
      <w:r w:rsidR="009E0137">
        <w:rPr>
          <w:lang w:val="en-US"/>
        </w:rPr>
        <w:t xml:space="preserve"> EAW for this purpose.</w:t>
      </w:r>
      <w:r w:rsidR="009E0137">
        <w:rPr>
          <w:rStyle w:val="Funotenzeichen"/>
          <w:lang w:val="en-US"/>
        </w:rPr>
        <w:footnoteReference w:id="272"/>
      </w:r>
    </w:p>
    <w:p w14:paraId="1F8FED6E" w14:textId="77777777" w:rsidR="00AC7D3E" w:rsidRPr="00353C2A" w:rsidRDefault="00AC7D3E" w:rsidP="005619EA">
      <w:pPr>
        <w:spacing w:line="360" w:lineRule="auto"/>
        <w:jc w:val="both"/>
        <w:rPr>
          <w:color w:val="FF0000"/>
          <w:lang w:val="en-GB"/>
        </w:rPr>
      </w:pPr>
    </w:p>
    <w:p w14:paraId="264EAB29" w14:textId="77777777" w:rsidR="001A090D" w:rsidRPr="007C0356" w:rsidRDefault="001A090D" w:rsidP="00777A20">
      <w:pPr>
        <w:pStyle w:val="Listenabsatz"/>
        <w:numPr>
          <w:ilvl w:val="0"/>
          <w:numId w:val="33"/>
        </w:numPr>
        <w:spacing w:line="360" w:lineRule="auto"/>
        <w:ind w:left="2410" w:hanging="142"/>
        <w:jc w:val="both"/>
        <w:rPr>
          <w:lang w:val="en-GB"/>
        </w:rPr>
      </w:pPr>
      <w:r w:rsidRPr="007C0356">
        <w:rPr>
          <w:lang w:val="en-GB"/>
        </w:rPr>
        <w:t>Convention on Transfer of Proceedings/European Convention on Mutual Assistance in Criminal Matters</w:t>
      </w:r>
    </w:p>
    <w:p w14:paraId="33090C20" w14:textId="5647B880" w:rsidR="001A090D" w:rsidRDefault="001A090D" w:rsidP="00777A20">
      <w:pPr>
        <w:spacing w:line="360" w:lineRule="auto"/>
        <w:ind w:left="2268"/>
        <w:jc w:val="both"/>
        <w:rPr>
          <w:color w:val="FF0000"/>
          <w:lang w:val="en-GB"/>
        </w:rPr>
      </w:pPr>
      <w:r w:rsidRPr="00353C2A">
        <w:rPr>
          <w:color w:val="FF0000"/>
          <w:lang w:val="en-GB"/>
        </w:rPr>
        <w:t>Transfer of proceedings to the MS where t</w:t>
      </w:r>
      <w:r w:rsidR="007C0356">
        <w:rPr>
          <w:color w:val="FF0000"/>
          <w:lang w:val="en-GB"/>
        </w:rPr>
        <w:t xml:space="preserve">he person concerned is present. </w:t>
      </w:r>
      <w:r w:rsidRPr="00353C2A">
        <w:rPr>
          <w:color w:val="FF0000"/>
          <w:lang w:val="en-GB"/>
        </w:rPr>
        <w:t xml:space="preserve">This is not an instrument that provides for ensuring that the suspect is available for executing investigative/prosecution measures nor for ensuring his availability for the trial in the issuing MS. However, given that the person concerned is present in another MS, transferring the proceedings to that MS may be an option. Is it possible </w:t>
      </w:r>
      <w:r w:rsidRPr="00353C2A">
        <w:rPr>
          <w:color w:val="FF0000"/>
          <w:u w:val="single"/>
          <w:lang w:val="en-GB"/>
        </w:rPr>
        <w:t>under national law</w:t>
      </w:r>
      <w:r w:rsidRPr="00353C2A">
        <w:rPr>
          <w:color w:val="FF0000"/>
          <w:lang w:val="en-GB"/>
        </w:rPr>
        <w:t xml:space="preserve"> to transfer proceedings that are at the trial stage</w:t>
      </w:r>
      <w:r w:rsidR="00D30852" w:rsidRPr="00F44757">
        <w:rPr>
          <w:color w:val="FF0000"/>
          <w:lang w:val="en-GB"/>
        </w:rPr>
        <w:t>, and if so, under what conditions</w:t>
      </w:r>
      <w:r w:rsidRPr="00F44757">
        <w:rPr>
          <w:color w:val="FF0000"/>
          <w:lang w:val="en-GB"/>
        </w:rPr>
        <w:t>?</w:t>
      </w:r>
    </w:p>
    <w:p w14:paraId="27237F3D" w14:textId="293D1B7E" w:rsidR="00503A32" w:rsidRDefault="00503A32" w:rsidP="00503A32">
      <w:pPr>
        <w:spacing w:line="360" w:lineRule="auto"/>
        <w:jc w:val="both"/>
        <w:rPr>
          <w:lang w:val="en-GB"/>
        </w:rPr>
      </w:pPr>
      <w:r>
        <w:rPr>
          <w:lang w:val="en-US"/>
        </w:rPr>
        <w:t xml:space="preserve">As has been mentioned above, a transfer of criminal proceedings is not limited to the pre-trial stage. No. 146(3) </w:t>
      </w:r>
      <w:r>
        <w:rPr>
          <w:lang w:val="en-GB"/>
        </w:rPr>
        <w:t>GICCM implicitly covers a transfer in the trial-stage. However, in most cases, a transfer of proceedings in the pre-trial stage will be more efficient and save resources of the criminal justice system. Public prosecutors could not report of a single case where criminal proceedings had been transferred at the trial stage.</w:t>
      </w:r>
      <w:r>
        <w:rPr>
          <w:rStyle w:val="Funotenzeichen"/>
          <w:lang w:val="en-GB"/>
        </w:rPr>
        <w:footnoteReference w:id="273"/>
      </w:r>
    </w:p>
    <w:p w14:paraId="4EA6F716" w14:textId="77777777" w:rsidR="00503A32" w:rsidRPr="00F44757" w:rsidRDefault="00503A32" w:rsidP="00503A32">
      <w:pPr>
        <w:spacing w:line="360" w:lineRule="auto"/>
        <w:jc w:val="both"/>
        <w:rPr>
          <w:color w:val="FF0000"/>
          <w:lang w:val="en-GB"/>
        </w:rPr>
      </w:pPr>
    </w:p>
    <w:p w14:paraId="7D23055B" w14:textId="77777777" w:rsidR="001A090D" w:rsidRDefault="001A090D" w:rsidP="00777A20">
      <w:pPr>
        <w:spacing w:line="360" w:lineRule="auto"/>
        <w:ind w:left="1843" w:firstLine="3"/>
        <w:jc w:val="both"/>
        <w:rPr>
          <w:lang w:val="en-GB"/>
        </w:rPr>
      </w:pPr>
      <w:r w:rsidRPr="00353C2A">
        <w:rPr>
          <w:lang w:val="en-GB"/>
        </w:rPr>
        <w:t>(cc) Ensuring the suspect’s presence at trial</w:t>
      </w:r>
    </w:p>
    <w:p w14:paraId="708587C7" w14:textId="797029F1" w:rsidR="0041561B" w:rsidRPr="00353C2A" w:rsidRDefault="0041561B" w:rsidP="0041561B">
      <w:pPr>
        <w:spacing w:line="360" w:lineRule="auto"/>
        <w:jc w:val="both"/>
        <w:rPr>
          <w:lang w:val="en-GB"/>
        </w:rPr>
      </w:pPr>
      <w:r>
        <w:rPr>
          <w:lang w:val="en-GB"/>
        </w:rPr>
        <w:t>The considerations on scenario (bb) apply accordingly because the availability and the presence of the accused person in the trial phase cannot be distinguished in the German criminal justice system; both aspects originate from the obligation to be present at the trial (section 230 CCP).</w:t>
      </w:r>
    </w:p>
    <w:p w14:paraId="43917D2D" w14:textId="77777777" w:rsidR="001A090D" w:rsidRPr="00A43F47" w:rsidRDefault="001A090D" w:rsidP="00777A20">
      <w:pPr>
        <w:pStyle w:val="Listenabsatz"/>
        <w:numPr>
          <w:ilvl w:val="0"/>
          <w:numId w:val="33"/>
        </w:numPr>
        <w:spacing w:line="360" w:lineRule="auto"/>
        <w:ind w:left="2410" w:hanging="142"/>
        <w:jc w:val="both"/>
        <w:rPr>
          <w:lang w:val="en-GB"/>
        </w:rPr>
      </w:pPr>
      <w:r w:rsidRPr="00A43F47">
        <w:rPr>
          <w:lang w:val="en-GB"/>
        </w:rPr>
        <w:t xml:space="preserve">FD 2009/829/JHA </w:t>
      </w:r>
      <w:r w:rsidRPr="00A43F47">
        <w:rPr>
          <w:color w:val="FF0000"/>
          <w:lang w:val="en-GB"/>
        </w:rPr>
        <w:t>(?)</w:t>
      </w:r>
    </w:p>
    <w:p w14:paraId="7661E014" w14:textId="0F77585C" w:rsidR="00503A32" w:rsidRPr="00353C2A" w:rsidRDefault="001A090D" w:rsidP="0041561B">
      <w:pPr>
        <w:spacing w:line="360" w:lineRule="auto"/>
        <w:ind w:left="2268"/>
        <w:jc w:val="both"/>
        <w:rPr>
          <w:color w:val="FF0000"/>
          <w:lang w:val="en-GB"/>
        </w:rPr>
      </w:pPr>
      <w:r w:rsidRPr="00353C2A">
        <w:rPr>
          <w:color w:val="FF0000"/>
          <w:lang w:val="en-GB"/>
        </w:rPr>
        <w:lastRenderedPageBreak/>
        <w:t xml:space="preserve">Is it possible </w:t>
      </w:r>
      <w:r w:rsidRPr="00353C2A">
        <w:rPr>
          <w:color w:val="FF0000"/>
          <w:u w:val="single"/>
          <w:lang w:val="en-GB"/>
        </w:rPr>
        <w:t>under national law</w:t>
      </w:r>
      <w:r w:rsidRPr="00353C2A">
        <w:rPr>
          <w:color w:val="FF0000"/>
          <w:lang w:val="en-GB"/>
        </w:rPr>
        <w:t xml:space="preserve"> to issue an ESO when the person concerned is in </w:t>
      </w:r>
      <w:r w:rsidR="0018691F">
        <w:rPr>
          <w:color w:val="FF0000"/>
          <w:lang w:val="en-GB"/>
        </w:rPr>
        <w:t>the</w:t>
      </w:r>
      <w:r w:rsidRPr="00353C2A">
        <w:rPr>
          <w:color w:val="FF0000"/>
          <w:lang w:val="en-GB"/>
        </w:rPr>
        <w:t xml:space="preserve"> MS </w:t>
      </w:r>
      <w:r w:rsidR="0018691F">
        <w:rPr>
          <w:color w:val="FF0000"/>
          <w:lang w:val="en-GB"/>
        </w:rPr>
        <w:t xml:space="preserve">of his lawful and ordinary residence </w:t>
      </w:r>
      <w:r w:rsidRPr="00353C2A">
        <w:rPr>
          <w:color w:val="FF0000"/>
          <w:lang w:val="en-GB"/>
        </w:rPr>
        <w:t xml:space="preserve">and no </w:t>
      </w:r>
      <w:r w:rsidR="00C601B9">
        <w:rPr>
          <w:color w:val="FF0000"/>
          <w:lang w:val="en-GB"/>
        </w:rPr>
        <w:t>detention on remand</w:t>
      </w:r>
      <w:r w:rsidRPr="00353C2A">
        <w:rPr>
          <w:color w:val="FF0000"/>
          <w:lang w:val="en-GB"/>
        </w:rPr>
        <w:t xml:space="preserve"> is ordered?</w:t>
      </w:r>
    </w:p>
    <w:p w14:paraId="159C4536" w14:textId="40E7F875" w:rsidR="001A090D" w:rsidRPr="00777A20" w:rsidRDefault="001A090D" w:rsidP="00777A20">
      <w:pPr>
        <w:pStyle w:val="Listenabsatz"/>
        <w:numPr>
          <w:ilvl w:val="0"/>
          <w:numId w:val="33"/>
        </w:numPr>
        <w:spacing w:line="360" w:lineRule="auto"/>
        <w:ind w:left="2410" w:hanging="142"/>
        <w:jc w:val="both"/>
        <w:rPr>
          <w:color w:val="FF0000"/>
          <w:lang w:val="en-GB"/>
        </w:rPr>
      </w:pPr>
      <w:r w:rsidRPr="00A43F47">
        <w:rPr>
          <w:lang w:val="en-GB"/>
        </w:rPr>
        <w:t xml:space="preserve">DR 2014/41 </w:t>
      </w:r>
      <w:r w:rsidRPr="00F44757">
        <w:rPr>
          <w:color w:val="FF0000"/>
          <w:lang w:val="en-GB"/>
        </w:rPr>
        <w:t>(?)</w:t>
      </w:r>
      <w:r w:rsidR="00DE69B4" w:rsidRPr="00F44757">
        <w:rPr>
          <w:rStyle w:val="Funotenzeichen"/>
          <w:color w:val="FF0000"/>
          <w:lang w:val="en-GB"/>
        </w:rPr>
        <w:footnoteReference w:id="274"/>
      </w:r>
    </w:p>
    <w:p w14:paraId="2717F4D2" w14:textId="558539DC" w:rsidR="001A090D" w:rsidRPr="00F44757" w:rsidRDefault="001A090D" w:rsidP="00777A20">
      <w:pPr>
        <w:spacing w:line="360" w:lineRule="auto"/>
        <w:ind w:left="2268"/>
        <w:jc w:val="both"/>
        <w:rPr>
          <w:color w:val="FF0000"/>
          <w:lang w:val="en-GB"/>
        </w:rPr>
      </w:pPr>
      <w:r w:rsidRPr="00F44757">
        <w:rPr>
          <w:color w:val="FF0000"/>
          <w:lang w:val="en-GB"/>
        </w:rPr>
        <w:t xml:space="preserve">Is it possible </w:t>
      </w:r>
      <w:r w:rsidRPr="00F44757">
        <w:rPr>
          <w:color w:val="FF0000"/>
          <w:u w:val="single"/>
          <w:lang w:val="en-GB"/>
        </w:rPr>
        <w:t>under national law</w:t>
      </w:r>
      <w:r w:rsidRPr="00F44757">
        <w:rPr>
          <w:color w:val="FF0000"/>
          <w:lang w:val="en-GB"/>
        </w:rPr>
        <w:t xml:space="preserve"> to employ an EIO for the purpose of ensuring presence at the trial</w:t>
      </w:r>
      <w:r w:rsidR="00654C6D" w:rsidRPr="00F44757">
        <w:rPr>
          <w:color w:val="FF0000"/>
          <w:lang w:val="en-GB"/>
        </w:rPr>
        <w:t xml:space="preserve"> (either through a videoconference or a temporary transfer)</w:t>
      </w:r>
      <w:r w:rsidRPr="00F44757">
        <w:rPr>
          <w:color w:val="FF0000"/>
          <w:lang w:val="en-GB"/>
        </w:rPr>
        <w:t>?</w:t>
      </w:r>
      <w:r w:rsidR="00654C6D" w:rsidRPr="00F44757">
        <w:rPr>
          <w:color w:val="FF0000"/>
          <w:lang w:val="en-GB"/>
        </w:rPr>
        <w:t xml:space="preserve"> </w:t>
      </w:r>
    </w:p>
    <w:p w14:paraId="5D17EBB6" w14:textId="77777777" w:rsidR="001A090D" w:rsidRPr="00A43F47" w:rsidRDefault="001A090D" w:rsidP="00777A20">
      <w:pPr>
        <w:pStyle w:val="Listenabsatz"/>
        <w:numPr>
          <w:ilvl w:val="0"/>
          <w:numId w:val="33"/>
        </w:numPr>
        <w:spacing w:line="360" w:lineRule="auto"/>
        <w:ind w:left="2410" w:hanging="142"/>
        <w:jc w:val="both"/>
        <w:rPr>
          <w:lang w:val="fr-FR"/>
        </w:rPr>
      </w:pPr>
      <w:r w:rsidRPr="00A43F47">
        <w:rPr>
          <w:lang w:val="fr-FR"/>
        </w:rPr>
        <w:t>EU Convention on Mutual Assistance</w:t>
      </w:r>
    </w:p>
    <w:p w14:paraId="531750D7" w14:textId="77777777" w:rsidR="00B25ABA" w:rsidRDefault="001A090D" w:rsidP="00777A20">
      <w:pPr>
        <w:spacing w:line="360" w:lineRule="auto"/>
        <w:ind w:left="2268"/>
        <w:jc w:val="both"/>
        <w:rPr>
          <w:color w:val="FF0000"/>
          <w:lang w:val="en-GB"/>
        </w:rPr>
      </w:pPr>
      <w:r w:rsidRPr="00353C2A">
        <w:rPr>
          <w:color w:val="FF0000"/>
          <w:lang w:val="en-GB"/>
        </w:rPr>
        <w:t>Summoning the person concerned abroad</w:t>
      </w:r>
    </w:p>
    <w:p w14:paraId="05BEAAFC" w14:textId="77777777" w:rsidR="001A090D" w:rsidRPr="00A43F47" w:rsidRDefault="001A090D" w:rsidP="00777A20">
      <w:pPr>
        <w:pStyle w:val="Listenabsatz"/>
        <w:numPr>
          <w:ilvl w:val="0"/>
          <w:numId w:val="33"/>
        </w:numPr>
        <w:spacing w:line="360" w:lineRule="auto"/>
        <w:ind w:left="2410" w:hanging="142"/>
        <w:jc w:val="both"/>
        <w:rPr>
          <w:color w:val="FF0000"/>
          <w:lang w:val="en-GB"/>
        </w:rPr>
      </w:pPr>
      <w:bookmarkStart w:id="201" w:name="_Hlk142645510"/>
      <w:r w:rsidRPr="00A43F47">
        <w:rPr>
          <w:lang w:val="en-GB"/>
        </w:rPr>
        <w:t xml:space="preserve">Convention on Transfer of Proceedings/European Convention on Mutual Assistance in Criminal Matters </w:t>
      </w:r>
    </w:p>
    <w:p w14:paraId="7EB24635" w14:textId="3EABB6FC" w:rsidR="001A090D" w:rsidRDefault="001A090D" w:rsidP="00777A20">
      <w:pPr>
        <w:spacing w:line="360" w:lineRule="auto"/>
        <w:ind w:left="2268"/>
        <w:jc w:val="both"/>
        <w:rPr>
          <w:color w:val="FF0000"/>
          <w:lang w:val="en-GB"/>
        </w:rPr>
      </w:pPr>
      <w:r w:rsidRPr="00353C2A">
        <w:rPr>
          <w:color w:val="FF0000"/>
          <w:lang w:val="en-GB"/>
        </w:rPr>
        <w:t>Transfer of proceedings to</w:t>
      </w:r>
      <w:r w:rsidRPr="00353C2A">
        <w:rPr>
          <w:lang w:val="en-GB"/>
        </w:rPr>
        <w:t xml:space="preserve"> </w:t>
      </w:r>
      <w:r w:rsidRPr="00353C2A">
        <w:rPr>
          <w:color w:val="FF0000"/>
          <w:lang w:val="en-GB"/>
        </w:rPr>
        <w:t xml:space="preserve">the MS where the accused is present. This is not an instrument that provides for ensuring the suspect’s presence at the trial in the issuing MS. However, given that the person concerned is present in another MS, transferring the proceedings to that MS may be an option. Is it possible </w:t>
      </w:r>
      <w:r w:rsidRPr="00353C2A">
        <w:rPr>
          <w:color w:val="FF0000"/>
          <w:u w:val="single"/>
          <w:lang w:val="en-GB"/>
        </w:rPr>
        <w:t>under national law</w:t>
      </w:r>
      <w:r w:rsidRPr="00353C2A">
        <w:rPr>
          <w:color w:val="FF0000"/>
          <w:lang w:val="en-GB"/>
        </w:rPr>
        <w:t xml:space="preserve"> to transfer proceedings that are at the trial stage</w:t>
      </w:r>
      <w:r w:rsidR="00D30852">
        <w:rPr>
          <w:color w:val="FF0000"/>
          <w:lang w:val="en-GB"/>
        </w:rPr>
        <w:t>, and if so, under what conditions</w:t>
      </w:r>
      <w:r w:rsidRPr="00353C2A">
        <w:rPr>
          <w:color w:val="FF0000"/>
          <w:lang w:val="en-GB"/>
        </w:rPr>
        <w:t xml:space="preserve">? </w:t>
      </w:r>
    </w:p>
    <w:bookmarkEnd w:id="201"/>
    <w:p w14:paraId="183C5618" w14:textId="317FE430" w:rsidR="001A090D" w:rsidRPr="00353C2A" w:rsidRDefault="0041561B" w:rsidP="00777A20">
      <w:pPr>
        <w:spacing w:line="360" w:lineRule="auto"/>
        <w:ind w:left="1843" w:firstLine="3"/>
        <w:jc w:val="both"/>
        <w:rPr>
          <w:lang w:val="en-GB"/>
        </w:rPr>
      </w:pPr>
      <w:r w:rsidRPr="00353C2A">
        <w:rPr>
          <w:lang w:val="en-GB"/>
        </w:rPr>
        <w:t xml:space="preserve"> </w:t>
      </w:r>
      <w:r w:rsidR="001A090D" w:rsidRPr="00353C2A">
        <w:rPr>
          <w:lang w:val="en-GB"/>
        </w:rPr>
        <w:t>(dd) Other (?)</w:t>
      </w:r>
    </w:p>
    <w:p w14:paraId="5DBF8D7D" w14:textId="77777777" w:rsidR="001A090D" w:rsidRPr="00A43F47" w:rsidRDefault="001A090D" w:rsidP="00777A20">
      <w:pPr>
        <w:pStyle w:val="berschrift6"/>
        <w:ind w:left="1701" w:firstLine="0"/>
        <w:rPr>
          <w:lang w:val="en-GB"/>
        </w:rPr>
      </w:pPr>
      <w:bookmarkStart w:id="202" w:name="_Toc147328989"/>
      <w:bookmarkStart w:id="203" w:name="_Toc147329101"/>
      <w:bookmarkStart w:id="204" w:name="_Toc170228531"/>
      <w:bookmarkStart w:id="205" w:name="_Hlk143768686"/>
      <w:r w:rsidRPr="00A43F47">
        <w:rPr>
          <w:lang w:val="en-GB"/>
        </w:rPr>
        <w:t>detention on remand ordered</w:t>
      </w:r>
      <w:bookmarkEnd w:id="202"/>
      <w:bookmarkEnd w:id="203"/>
      <w:bookmarkEnd w:id="204"/>
    </w:p>
    <w:bookmarkEnd w:id="205"/>
    <w:p w14:paraId="18A3EC26" w14:textId="77777777" w:rsidR="001A090D" w:rsidRPr="00353C2A" w:rsidRDefault="001A090D" w:rsidP="00777A20">
      <w:pPr>
        <w:spacing w:line="360" w:lineRule="auto"/>
        <w:ind w:left="1843"/>
        <w:jc w:val="both"/>
        <w:rPr>
          <w:lang w:val="en-GB"/>
        </w:rPr>
      </w:pPr>
      <w:r w:rsidRPr="00353C2A">
        <w:rPr>
          <w:lang w:val="en-GB"/>
        </w:rPr>
        <w:t>(aa) executing investigative measures/prosecution such as interrogating the suspect;</w:t>
      </w:r>
    </w:p>
    <w:p w14:paraId="63A72B52" w14:textId="77777777" w:rsidR="001A090D" w:rsidRPr="00A43F47" w:rsidRDefault="001A090D" w:rsidP="00777A20">
      <w:pPr>
        <w:pStyle w:val="Listenabsatz"/>
        <w:numPr>
          <w:ilvl w:val="0"/>
          <w:numId w:val="33"/>
        </w:numPr>
        <w:spacing w:line="360" w:lineRule="auto"/>
        <w:ind w:left="2410" w:hanging="142"/>
        <w:jc w:val="both"/>
        <w:rPr>
          <w:color w:val="FF0000"/>
          <w:lang w:val="en-GB"/>
        </w:rPr>
      </w:pPr>
      <w:r w:rsidRPr="00A43F47">
        <w:rPr>
          <w:lang w:val="en-GB"/>
        </w:rPr>
        <w:t>FD 2002/584/JHA</w:t>
      </w:r>
    </w:p>
    <w:p w14:paraId="1F35C780" w14:textId="338E7D09" w:rsidR="001A090D" w:rsidRDefault="001A090D" w:rsidP="00777A20">
      <w:pPr>
        <w:spacing w:line="360" w:lineRule="auto"/>
        <w:ind w:left="2268"/>
        <w:jc w:val="both"/>
        <w:rPr>
          <w:color w:val="FF0000"/>
          <w:lang w:val="en-GB"/>
        </w:rPr>
      </w:pPr>
      <w:r w:rsidRPr="00353C2A">
        <w:rPr>
          <w:color w:val="FF0000"/>
          <w:lang w:val="en-GB"/>
        </w:rPr>
        <w:t xml:space="preserve">Prosecution-EAW. Is it possible </w:t>
      </w:r>
      <w:r w:rsidRPr="00353C2A">
        <w:rPr>
          <w:color w:val="FF0000"/>
          <w:u w:val="single"/>
          <w:lang w:val="en-GB"/>
        </w:rPr>
        <w:t>under national law</w:t>
      </w:r>
      <w:r w:rsidRPr="00353C2A">
        <w:rPr>
          <w:color w:val="FF0000"/>
          <w:lang w:val="en-GB"/>
        </w:rPr>
        <w:t xml:space="preserve"> to issue a prosecution-EAW</w:t>
      </w:r>
      <w:r w:rsidRPr="00353C2A">
        <w:rPr>
          <w:lang w:val="en-GB"/>
        </w:rPr>
        <w:t xml:space="preserve"> </w:t>
      </w:r>
      <w:r w:rsidRPr="00353C2A">
        <w:rPr>
          <w:color w:val="FF0000"/>
          <w:lang w:val="en-GB"/>
        </w:rPr>
        <w:t>just to execut</w:t>
      </w:r>
      <w:r w:rsidR="009C1EA7">
        <w:rPr>
          <w:color w:val="FF0000"/>
          <w:lang w:val="en-GB"/>
        </w:rPr>
        <w:t>e</w:t>
      </w:r>
      <w:r w:rsidRPr="00353C2A">
        <w:rPr>
          <w:color w:val="FF0000"/>
          <w:lang w:val="en-GB"/>
        </w:rPr>
        <w:t xml:space="preserve"> investigative measures, such as an interrogation?</w:t>
      </w:r>
    </w:p>
    <w:p w14:paraId="6B79FD79" w14:textId="35CD841C" w:rsidR="00AB6B23" w:rsidRDefault="00AB6B23" w:rsidP="00777A20">
      <w:pPr>
        <w:spacing w:line="360" w:lineRule="auto"/>
        <w:ind w:left="2268"/>
        <w:jc w:val="both"/>
        <w:rPr>
          <w:color w:val="FF0000"/>
          <w:lang w:val="en-GB"/>
        </w:rPr>
      </w:pPr>
      <w:r w:rsidRPr="00777A20">
        <w:rPr>
          <w:color w:val="FF0000"/>
          <w:lang w:val="en-GB"/>
        </w:rPr>
        <w:t>Pending the decision on the execution of a prosecution-EAW, the person concerned could be heard in the executing MS o</w:t>
      </w:r>
      <w:r w:rsidR="001E3808" w:rsidRPr="00777A20">
        <w:rPr>
          <w:color w:val="FF0000"/>
          <w:lang w:val="en-GB"/>
        </w:rPr>
        <w:t>r</w:t>
      </w:r>
      <w:r w:rsidRPr="00777A20">
        <w:rPr>
          <w:color w:val="FF0000"/>
          <w:lang w:val="en-GB"/>
        </w:rPr>
        <w:t xml:space="preserve"> be temporarily transferred to the issuing MS on the basis of Art. 18 and 19 FD 2002/584/JHA. </w:t>
      </w:r>
      <w:r w:rsidRPr="00F44757">
        <w:rPr>
          <w:color w:val="FF0000"/>
          <w:lang w:val="en-GB"/>
        </w:rPr>
        <w:t xml:space="preserve"> </w:t>
      </w:r>
    </w:p>
    <w:p w14:paraId="6BDFFD17" w14:textId="240EF9EA" w:rsidR="0018467D" w:rsidRDefault="00AC7D3E" w:rsidP="007E164A">
      <w:pPr>
        <w:spacing w:line="360" w:lineRule="auto"/>
        <w:jc w:val="both"/>
        <w:rPr>
          <w:lang w:val="en-US"/>
        </w:rPr>
      </w:pPr>
      <w:r>
        <w:rPr>
          <w:lang w:val="en-US"/>
        </w:rPr>
        <w:t>A</w:t>
      </w:r>
      <w:r w:rsidR="00127DD2">
        <w:rPr>
          <w:lang w:val="en-US"/>
        </w:rPr>
        <w:t>n</w:t>
      </w:r>
      <w:r>
        <w:rPr>
          <w:lang w:val="en-US"/>
        </w:rPr>
        <w:t xml:space="preserve"> EAW may only be issued on the bas</w:t>
      </w:r>
      <w:r w:rsidR="007E164A">
        <w:rPr>
          <w:lang w:val="en-US"/>
        </w:rPr>
        <w:t>is of a domestic arrest warrant (</w:t>
      </w:r>
      <w:r w:rsidR="007E164A">
        <w:rPr>
          <w:i/>
          <w:lang w:val="en-US"/>
        </w:rPr>
        <w:t xml:space="preserve">supra </w:t>
      </w:r>
      <w:r w:rsidR="007E164A" w:rsidRPr="007E164A">
        <w:rPr>
          <w:lang w:val="en-US"/>
        </w:rPr>
        <w:t>2.2.1.</w:t>
      </w:r>
      <w:r w:rsidR="007E164A">
        <w:rPr>
          <w:lang w:val="en-US"/>
        </w:rPr>
        <w:t>)</w:t>
      </w:r>
      <w:r>
        <w:rPr>
          <w:lang w:val="en-US"/>
        </w:rPr>
        <w:t xml:space="preserve">. </w:t>
      </w:r>
      <w:r w:rsidR="007E164A">
        <w:rPr>
          <w:lang w:val="en-US"/>
        </w:rPr>
        <w:t xml:space="preserve">In the trial phase, the court may issue an arrest warrant if the accused person has failed to appear </w:t>
      </w:r>
      <w:r w:rsidR="007E164A">
        <w:rPr>
          <w:lang w:val="en-US"/>
        </w:rPr>
        <w:lastRenderedPageBreak/>
        <w:t xml:space="preserve">before court and his arrest </w:t>
      </w:r>
      <w:r w:rsidR="007E164A" w:rsidRPr="00DB58FD">
        <w:rPr>
          <w:lang w:val="en-US"/>
        </w:rPr>
        <w:t xml:space="preserve">is necessary </w:t>
      </w:r>
      <w:r w:rsidR="007E164A">
        <w:rPr>
          <w:lang w:val="en-US"/>
        </w:rPr>
        <w:t>to ensure the presence of the accused person at the trial (section 230(2) CCP). According to some authors, a</w:t>
      </w:r>
      <w:r w:rsidR="00127DD2">
        <w:rPr>
          <w:lang w:val="en-US"/>
        </w:rPr>
        <w:t>n</w:t>
      </w:r>
      <w:r w:rsidR="007E164A">
        <w:rPr>
          <w:lang w:val="en-US"/>
        </w:rPr>
        <w:t xml:space="preserve"> EAW may be issued on the basis of such an arrest warrant.</w:t>
      </w:r>
      <w:r w:rsidR="007E164A">
        <w:rPr>
          <w:rStyle w:val="Funotenzeichen"/>
          <w:lang w:val="en-US"/>
        </w:rPr>
        <w:footnoteReference w:id="275"/>
      </w:r>
      <w:r w:rsidR="007E164A">
        <w:rPr>
          <w:lang w:val="en-US"/>
        </w:rPr>
        <w:t xml:space="preserve"> This interpretation, however, transforms the EAW into an instrument to make the accused person to appear before court for the purpose of his examination </w:t>
      </w:r>
      <w:r w:rsidR="007E164A" w:rsidRPr="00BB5D9A">
        <w:rPr>
          <w:lang w:val="en-US"/>
        </w:rPr>
        <w:t>(</w:t>
      </w:r>
      <w:r w:rsidR="00BB5D9A" w:rsidRPr="00BB5D9A">
        <w:rPr>
          <w:lang w:val="en-US"/>
        </w:rPr>
        <w:t>‘</w:t>
      </w:r>
      <w:r w:rsidR="007E164A" w:rsidRPr="00CB796C">
        <w:rPr>
          <w:lang w:val="en-US"/>
        </w:rPr>
        <w:t>Vorführung</w:t>
      </w:r>
      <w:r w:rsidR="00BB5D9A" w:rsidRPr="00CB796C">
        <w:rPr>
          <w:lang w:val="en-US"/>
        </w:rPr>
        <w:t>’</w:t>
      </w:r>
      <w:r w:rsidR="007E164A" w:rsidRPr="00BB5D9A">
        <w:rPr>
          <w:lang w:val="en-US"/>
        </w:rPr>
        <w:t>,</w:t>
      </w:r>
      <w:r w:rsidR="007E164A">
        <w:rPr>
          <w:lang w:val="en-US"/>
        </w:rPr>
        <w:t xml:space="preserve"> sections 133(2), 134, CCP) and, thereby, raises concerns with regard to the proportionality principle (see </w:t>
      </w:r>
      <w:r w:rsidR="007E164A" w:rsidRPr="007525C7">
        <w:rPr>
          <w:i/>
          <w:lang w:val="en-US"/>
        </w:rPr>
        <w:t>supra</w:t>
      </w:r>
      <w:r w:rsidR="007E164A">
        <w:rPr>
          <w:lang w:val="en-US"/>
        </w:rPr>
        <w:t xml:space="preserve"> 2.1.1.).</w:t>
      </w:r>
      <w:r w:rsidR="007E164A">
        <w:rPr>
          <w:rStyle w:val="Funotenzeichen"/>
          <w:lang w:val="en-US"/>
        </w:rPr>
        <w:footnoteReference w:id="276"/>
      </w:r>
      <w:r w:rsidR="007E164A">
        <w:rPr>
          <w:lang w:val="en-US"/>
        </w:rPr>
        <w:t xml:space="preserve"> </w:t>
      </w:r>
      <w:r w:rsidR="0018467D">
        <w:rPr>
          <w:lang w:val="en-US"/>
        </w:rPr>
        <w:t>For similar reasons, a judge considered the issuing of a</w:t>
      </w:r>
      <w:r w:rsidR="00127DD2">
        <w:rPr>
          <w:lang w:val="en-US"/>
        </w:rPr>
        <w:t>n</w:t>
      </w:r>
      <w:r w:rsidR="0018467D">
        <w:rPr>
          <w:lang w:val="en-US"/>
        </w:rPr>
        <w:t xml:space="preserve"> EAW for the sole purpose of ensuring the presence of the accused person at the trial to be clearly disproportionate</w:t>
      </w:r>
      <w:r w:rsidR="0018467D">
        <w:rPr>
          <w:rStyle w:val="Funotenzeichen"/>
          <w:lang w:val="en-US"/>
        </w:rPr>
        <w:footnoteReference w:id="277"/>
      </w:r>
      <w:r w:rsidR="0018467D">
        <w:rPr>
          <w:lang w:val="en-US"/>
        </w:rPr>
        <w:t>, but there is no uniform practice on this issue</w:t>
      </w:r>
      <w:r w:rsidR="0018467D">
        <w:rPr>
          <w:rStyle w:val="Funotenzeichen"/>
          <w:lang w:val="en-US"/>
        </w:rPr>
        <w:footnoteReference w:id="278"/>
      </w:r>
      <w:r w:rsidR="0018467D">
        <w:rPr>
          <w:lang w:val="en-US"/>
        </w:rPr>
        <w:t>.</w:t>
      </w:r>
    </w:p>
    <w:p w14:paraId="6279A525" w14:textId="6D965A26" w:rsidR="007E164A" w:rsidRDefault="007E164A" w:rsidP="00AC7D3E">
      <w:pPr>
        <w:spacing w:line="360" w:lineRule="auto"/>
        <w:jc w:val="both"/>
        <w:rPr>
          <w:lang w:val="en-US"/>
        </w:rPr>
      </w:pPr>
      <w:r>
        <w:rPr>
          <w:lang w:val="en-US"/>
        </w:rPr>
        <w:t xml:space="preserve">Moreover, an arrest warrant must not be issued unless the accused person has been </w:t>
      </w:r>
      <w:r w:rsidRPr="00014232">
        <w:rPr>
          <w:lang w:val="en-US"/>
        </w:rPr>
        <w:t>warned that he will be arrested and brought before the court if he fails to appear without excuse</w:t>
      </w:r>
      <w:r>
        <w:rPr>
          <w:lang w:val="en-US"/>
        </w:rPr>
        <w:t xml:space="preserve"> (sections 216(1), 230(2) CCP). If the person concerned is not present in the issuing state, a domestic arrest warrant cannot be executed and the warning has to be modified accordingly (see </w:t>
      </w:r>
      <w:r w:rsidR="0018467D">
        <w:rPr>
          <w:i/>
          <w:lang w:val="en-US"/>
        </w:rPr>
        <w:t>supra</w:t>
      </w:r>
      <w:r>
        <w:rPr>
          <w:i/>
          <w:lang w:val="en-US"/>
        </w:rPr>
        <w:t xml:space="preserve"> </w:t>
      </w:r>
      <w:r>
        <w:rPr>
          <w:lang w:val="en-US"/>
        </w:rPr>
        <w:t>2.3. with regard to Art. 5 of the EU Convention on Mutual Assistance)</w:t>
      </w:r>
      <w:r w:rsidRPr="00014232">
        <w:rPr>
          <w:lang w:val="en-US"/>
        </w:rPr>
        <w:t>.</w:t>
      </w:r>
      <w:r>
        <w:rPr>
          <w:rStyle w:val="Funotenzeichen"/>
          <w:lang w:val="en-US"/>
        </w:rPr>
        <w:footnoteReference w:id="279"/>
      </w:r>
      <w:r>
        <w:rPr>
          <w:lang w:val="en-US"/>
        </w:rPr>
        <w:t xml:space="preserve"> So, if there is no proper warning, a</w:t>
      </w:r>
      <w:r w:rsidR="00127DD2">
        <w:rPr>
          <w:lang w:val="en-US"/>
        </w:rPr>
        <w:t>n</w:t>
      </w:r>
      <w:r>
        <w:rPr>
          <w:lang w:val="en-US"/>
        </w:rPr>
        <w:t xml:space="preserve"> EAW cannot be issued on the basis of a domestic arrest warrant pursuant to section 230(2) CCP.</w:t>
      </w:r>
      <w:r>
        <w:rPr>
          <w:rStyle w:val="Funotenzeichen"/>
          <w:lang w:val="en-US"/>
        </w:rPr>
        <w:footnoteReference w:id="280"/>
      </w:r>
    </w:p>
    <w:p w14:paraId="51A77370" w14:textId="77777777" w:rsidR="00AC7D3E" w:rsidRPr="00AC7D3E" w:rsidRDefault="00AC7D3E" w:rsidP="00AC7D3E">
      <w:pPr>
        <w:spacing w:line="360" w:lineRule="auto"/>
        <w:jc w:val="both"/>
        <w:rPr>
          <w:color w:val="FF0000"/>
          <w:lang w:val="en-US"/>
        </w:rPr>
      </w:pPr>
    </w:p>
    <w:p w14:paraId="6D3343C0" w14:textId="6F41C0B9" w:rsidR="001A090D" w:rsidRPr="00F44757" w:rsidRDefault="001A090D" w:rsidP="00777A20">
      <w:pPr>
        <w:pStyle w:val="Listenabsatz"/>
        <w:numPr>
          <w:ilvl w:val="0"/>
          <w:numId w:val="33"/>
        </w:numPr>
        <w:spacing w:line="360" w:lineRule="auto"/>
        <w:ind w:left="2410" w:hanging="142"/>
        <w:jc w:val="both"/>
        <w:rPr>
          <w:color w:val="FF0000"/>
          <w:lang w:val="en-GB"/>
        </w:rPr>
      </w:pPr>
      <w:r w:rsidRPr="00A43F47">
        <w:rPr>
          <w:lang w:val="en-GB"/>
        </w:rPr>
        <w:t>DR 2014/41</w:t>
      </w:r>
      <w:r w:rsidR="00DE69B4" w:rsidRPr="00C63F4A">
        <w:rPr>
          <w:rStyle w:val="Funotenzeichen"/>
          <w:lang w:val="en-GB"/>
        </w:rPr>
        <w:footnoteReference w:id="281"/>
      </w:r>
      <w:r w:rsidR="00654C6D" w:rsidRPr="00777A20">
        <w:rPr>
          <w:color w:val="FF0000"/>
          <w:lang w:val="en-GB"/>
        </w:rPr>
        <w:t xml:space="preserve"> (?)</w:t>
      </w:r>
    </w:p>
    <w:p w14:paraId="62BB1D2D" w14:textId="275DFCC1" w:rsidR="001A090D" w:rsidRPr="00F44757" w:rsidRDefault="001A090D" w:rsidP="00777A20">
      <w:pPr>
        <w:spacing w:line="360" w:lineRule="auto"/>
        <w:ind w:left="2268"/>
        <w:jc w:val="both"/>
        <w:rPr>
          <w:color w:val="FF0000"/>
          <w:lang w:val="en-GB"/>
        </w:rPr>
      </w:pPr>
      <w:r w:rsidRPr="00F44757">
        <w:rPr>
          <w:color w:val="FF0000"/>
          <w:lang w:val="en-GB"/>
        </w:rPr>
        <w:t>Temporary transfer</w:t>
      </w:r>
      <w:r w:rsidR="005F4ACA" w:rsidRPr="00F44757">
        <w:rPr>
          <w:rStyle w:val="Funotenzeichen"/>
          <w:color w:val="FF0000"/>
          <w:lang w:val="en-GB"/>
        </w:rPr>
        <w:footnoteReference w:id="282"/>
      </w:r>
      <w:r w:rsidRPr="00F44757">
        <w:rPr>
          <w:color w:val="FF0000"/>
          <w:lang w:val="en-GB"/>
        </w:rPr>
        <w:t>/videoconference</w:t>
      </w:r>
    </w:p>
    <w:p w14:paraId="261C7CC9" w14:textId="47A27798" w:rsidR="00654C6D" w:rsidRDefault="00654C6D" w:rsidP="00777A20">
      <w:pPr>
        <w:spacing w:line="360" w:lineRule="auto"/>
        <w:ind w:left="2268"/>
        <w:jc w:val="both"/>
        <w:rPr>
          <w:color w:val="FF0000"/>
          <w:lang w:val="en-GB"/>
        </w:rPr>
      </w:pPr>
      <w:r w:rsidRPr="00F44757">
        <w:rPr>
          <w:color w:val="FF0000"/>
          <w:u w:val="single"/>
          <w:lang w:val="en-GB"/>
        </w:rPr>
        <w:t xml:space="preserve">Under </w:t>
      </w:r>
      <w:r w:rsidRPr="002B2DC3">
        <w:rPr>
          <w:color w:val="FF0000"/>
          <w:u w:val="single"/>
          <w:lang w:val="en-GB"/>
        </w:rPr>
        <w:t>national law</w:t>
      </w:r>
      <w:r w:rsidRPr="00F44757">
        <w:rPr>
          <w:color w:val="FF0000"/>
          <w:lang w:val="en-GB"/>
        </w:rPr>
        <w:t xml:space="preserve">, is a videoconference possible with the sole purpose of ensuring the presence of the accused at the trial (i.e. without the </w:t>
      </w:r>
      <w:r w:rsidRPr="00F44757">
        <w:rPr>
          <w:color w:val="FF0000"/>
          <w:lang w:val="en-GB"/>
        </w:rPr>
        <w:lastRenderedPageBreak/>
        <w:t>purpose of gathering evidence)?</w:t>
      </w:r>
      <w:r w:rsidR="00CE3704">
        <w:rPr>
          <w:rStyle w:val="Funotenzeichen"/>
          <w:color w:val="FF0000"/>
          <w:lang w:val="en-GB"/>
        </w:rPr>
        <w:footnoteReference w:id="283"/>
      </w:r>
      <w:r w:rsidRPr="00F44757">
        <w:rPr>
          <w:color w:val="FF0000"/>
          <w:lang w:val="en-GB"/>
        </w:rPr>
        <w:t xml:space="preserve"> If not: is such a videoconference possible without issuing an EIO?</w:t>
      </w:r>
      <w:r w:rsidRPr="00F44757">
        <w:rPr>
          <w:color w:val="FF0000"/>
          <w:vertAlign w:val="superscript"/>
          <w:lang w:val="en-GB"/>
        </w:rPr>
        <w:footnoteReference w:id="284"/>
      </w:r>
      <w:r w:rsidRPr="00F44757">
        <w:rPr>
          <w:color w:val="FF0000"/>
          <w:lang w:val="en-GB"/>
        </w:rPr>
        <w:t xml:space="preserve"> </w:t>
      </w:r>
    </w:p>
    <w:p w14:paraId="02D042D2" w14:textId="77777777" w:rsidR="0018467D" w:rsidRDefault="0018467D" w:rsidP="009E7EAA">
      <w:pPr>
        <w:spacing w:line="360" w:lineRule="auto"/>
        <w:jc w:val="both"/>
        <w:rPr>
          <w:lang w:val="en-US"/>
        </w:rPr>
      </w:pPr>
    </w:p>
    <w:p w14:paraId="5614262D" w14:textId="20317B3C" w:rsidR="009E7EAA" w:rsidRDefault="009E7EAA" w:rsidP="009E7EAA">
      <w:pPr>
        <w:spacing w:line="360" w:lineRule="auto"/>
        <w:jc w:val="both"/>
        <w:rPr>
          <w:lang w:val="en-US"/>
        </w:rPr>
      </w:pPr>
      <w:r>
        <w:rPr>
          <w:lang w:val="en-US"/>
        </w:rPr>
        <w:t>German law does not allow the courts to request for a hearing by videoconference for the purpose of enabling the accused person to participate in the trial because the (physical) presence of the accused person is mandatory (section 230 CCP</w:t>
      </w:r>
      <w:r w:rsidR="00AF679A">
        <w:rPr>
          <w:lang w:val="en-US"/>
        </w:rPr>
        <w:t xml:space="preserve">; </w:t>
      </w:r>
      <w:r>
        <w:rPr>
          <w:lang w:val="en-US"/>
        </w:rPr>
        <w:t>see the exception under section 232(1) CCP); accordingly, a hearing by videoconference during the trial is limited to witnesses and experts (section 247a CCP).</w:t>
      </w:r>
      <w:r>
        <w:rPr>
          <w:rStyle w:val="Funotenzeichen"/>
          <w:lang w:val="en-US"/>
        </w:rPr>
        <w:footnoteReference w:id="285"/>
      </w:r>
      <w:r>
        <w:rPr>
          <w:lang w:val="en-US"/>
        </w:rPr>
        <w:t xml:space="preserve"> Whereas </w:t>
      </w:r>
      <w:r w:rsidRPr="0058387E">
        <w:rPr>
          <w:lang w:val="en-US"/>
        </w:rPr>
        <w:t>section 128a of</w:t>
      </w:r>
      <w:r>
        <w:rPr>
          <w:lang w:val="en-US"/>
        </w:rPr>
        <w:t xml:space="preserve"> </w:t>
      </w:r>
      <w:r w:rsidRPr="0058387E">
        <w:rPr>
          <w:lang w:val="en-US"/>
        </w:rPr>
        <w:t>the Code on C</w:t>
      </w:r>
      <w:r>
        <w:rPr>
          <w:lang w:val="en-US"/>
        </w:rPr>
        <w:t>ivil Procedure and similar provisions expressly allow for an oral hearing by videoconference, a criminal trial still requires the physical presence of the accused person because the court shall gain an immediate impression of the accused person.</w:t>
      </w:r>
      <w:r>
        <w:rPr>
          <w:rStyle w:val="Funotenzeichen"/>
          <w:lang w:val="en-US"/>
        </w:rPr>
        <w:footnoteReference w:id="286"/>
      </w:r>
      <w:r>
        <w:rPr>
          <w:lang w:val="en-US"/>
        </w:rPr>
        <w:t xml:space="preserve"> There is, however, an exception to this general rule according to which the accused person may be released from the obligation to be (physically) present at the trial where the expected sentence will not exceed imprisonment for a term of six months or a fine of 180 daily rates (section 233(1) CCP). In this case, the court </w:t>
      </w:r>
      <w:r w:rsidRPr="0033147B">
        <w:rPr>
          <w:lang w:val="en-GB"/>
        </w:rPr>
        <w:t>may examine the accused person by videoconference (section 233(2)3 CCP). Whereas the legislative draft of the government provided for an interrogation by videoconference during the trial</w:t>
      </w:r>
      <w:r>
        <w:rPr>
          <w:rStyle w:val="Funotenzeichen"/>
        </w:rPr>
        <w:footnoteReference w:id="287"/>
      </w:r>
      <w:r w:rsidRPr="0033147B">
        <w:rPr>
          <w:lang w:val="en-GB"/>
        </w:rPr>
        <w:t>, the Parliament adopted an amendment that requires the examination of the accused person to be conducted ‘outside the main hearing’</w:t>
      </w:r>
      <w:r>
        <w:rPr>
          <w:lang w:val="en-US"/>
        </w:rPr>
        <w:t xml:space="preserve"> (section 233(2)3 CCP).</w:t>
      </w:r>
      <w:r>
        <w:rPr>
          <w:rStyle w:val="Funotenzeichen"/>
          <w:lang w:val="en-US"/>
        </w:rPr>
        <w:footnoteReference w:id="288"/>
      </w:r>
      <w:r>
        <w:rPr>
          <w:lang w:val="en-US"/>
        </w:rPr>
        <w:t xml:space="preserve"> This amendment might originate from the fact that the interrogation by videoconference has been introduced as an alternative to the examination by a commissioned or requested judge that is usually conducted outside the main hearing (section 233(2)1 CCP). This legislative choice, however, has been subject to severe criticism that the result of the examination is not part of the main hearing and, thus, must be introduced as evidence in the trial (reading out of the protocol on the examination).</w:t>
      </w:r>
      <w:r>
        <w:rPr>
          <w:rStyle w:val="Funotenzeichen"/>
          <w:lang w:val="en-US"/>
        </w:rPr>
        <w:footnoteReference w:id="289"/>
      </w:r>
      <w:r>
        <w:rPr>
          <w:lang w:val="en-US"/>
        </w:rPr>
        <w:t xml:space="preserve"> Nevertheless, as far as the trial court may examine the accused person by </w:t>
      </w:r>
      <w:r>
        <w:rPr>
          <w:lang w:val="en-US"/>
        </w:rPr>
        <w:lastRenderedPageBreak/>
        <w:t>videoconference, it may issue a</w:t>
      </w:r>
      <w:r w:rsidR="001C67F0">
        <w:rPr>
          <w:lang w:val="en-US"/>
        </w:rPr>
        <w:t>n</w:t>
      </w:r>
      <w:r>
        <w:rPr>
          <w:lang w:val="en-US"/>
        </w:rPr>
        <w:t xml:space="preserve"> EIO (or initiate a request) to that end.</w:t>
      </w:r>
      <w:r>
        <w:rPr>
          <w:rStyle w:val="Funotenzeichen"/>
          <w:lang w:val="en-US"/>
        </w:rPr>
        <w:footnoteReference w:id="290"/>
      </w:r>
      <w:r w:rsidR="008407E6">
        <w:rPr>
          <w:lang w:val="en-US"/>
        </w:rPr>
        <w:t xml:space="preserve"> This option, however, </w:t>
      </w:r>
      <w:r w:rsidR="00BA6EEF">
        <w:rPr>
          <w:lang w:val="en-US"/>
        </w:rPr>
        <w:t>seems to be</w:t>
      </w:r>
      <w:r w:rsidR="008407E6">
        <w:rPr>
          <w:lang w:val="en-US"/>
        </w:rPr>
        <w:t xml:space="preserve"> </w:t>
      </w:r>
      <w:r w:rsidR="00BA6EEF">
        <w:rPr>
          <w:lang w:val="en-US"/>
        </w:rPr>
        <w:t>hardly</w:t>
      </w:r>
      <w:r w:rsidR="008407E6">
        <w:rPr>
          <w:lang w:val="en-US"/>
        </w:rPr>
        <w:t xml:space="preserve"> used in court practice.</w:t>
      </w:r>
      <w:r w:rsidR="008407E6">
        <w:rPr>
          <w:rStyle w:val="Funotenzeichen"/>
          <w:lang w:val="en-US"/>
        </w:rPr>
        <w:footnoteReference w:id="291"/>
      </w:r>
    </w:p>
    <w:p w14:paraId="3ED2EF2A" w14:textId="3D2DFC25" w:rsidR="009E7EAA" w:rsidRDefault="009E7EAA" w:rsidP="009E7EAA">
      <w:pPr>
        <w:spacing w:line="360" w:lineRule="auto"/>
        <w:ind w:left="2268"/>
        <w:jc w:val="both"/>
        <w:rPr>
          <w:lang w:val="en-US"/>
        </w:rPr>
      </w:pPr>
      <w:r w:rsidRPr="00F44757">
        <w:rPr>
          <w:color w:val="FF0000"/>
          <w:lang w:val="en-GB"/>
        </w:rPr>
        <w:t>Is a videoconference possible for the purpose of interrogation of the accused at the trial by the trial court? If not: is such a videoconference possible without issuing an EIO?</w:t>
      </w:r>
    </w:p>
    <w:p w14:paraId="7C9835DD" w14:textId="25517EB2" w:rsidR="00AC7D3E" w:rsidRPr="009E7EAA" w:rsidRDefault="009E7EAA" w:rsidP="00AC7D3E">
      <w:pPr>
        <w:spacing w:line="360" w:lineRule="auto"/>
        <w:jc w:val="both"/>
        <w:rPr>
          <w:color w:val="FF0000"/>
          <w:lang w:val="en-US"/>
        </w:rPr>
      </w:pPr>
      <w:r w:rsidRPr="005F0F78">
        <w:rPr>
          <w:lang w:val="en-US"/>
        </w:rPr>
        <w:t xml:space="preserve">As has been mentioned before, </w:t>
      </w:r>
      <w:r>
        <w:rPr>
          <w:lang w:val="en-US"/>
        </w:rPr>
        <w:t xml:space="preserve">German law does not allow for a trial </w:t>
      </w:r>
      <w:r w:rsidRPr="005F0F78">
        <w:rPr>
          <w:i/>
          <w:lang w:val="en-US"/>
        </w:rPr>
        <w:t>in absentia</w:t>
      </w:r>
      <w:r>
        <w:rPr>
          <w:lang w:val="en-US"/>
        </w:rPr>
        <w:t>. Nevertheless, an interrogation by videoconference may be considered where the accused person is released from the obligation to appear before court (</w:t>
      </w:r>
      <w:r>
        <w:rPr>
          <w:i/>
          <w:lang w:val="en-US"/>
        </w:rPr>
        <w:t xml:space="preserve">supra </w:t>
      </w:r>
      <w:r>
        <w:rPr>
          <w:lang w:val="en-US"/>
        </w:rPr>
        <w:t>on the previous question). As far as this exception applies, a</w:t>
      </w:r>
      <w:r w:rsidR="001C67F0">
        <w:rPr>
          <w:lang w:val="en-US"/>
        </w:rPr>
        <w:t>n</w:t>
      </w:r>
      <w:r>
        <w:rPr>
          <w:lang w:val="en-US"/>
        </w:rPr>
        <w:t xml:space="preserve"> EIO may be issued for this purpose.</w:t>
      </w:r>
    </w:p>
    <w:p w14:paraId="4C7DCF7A" w14:textId="745A6C44" w:rsidR="00654C6D" w:rsidRDefault="00654C6D" w:rsidP="00777A20">
      <w:pPr>
        <w:spacing w:line="360" w:lineRule="auto"/>
        <w:ind w:left="2268"/>
        <w:jc w:val="both"/>
        <w:rPr>
          <w:color w:val="FF0000"/>
          <w:lang w:val="en-GB"/>
        </w:rPr>
      </w:pPr>
      <w:r w:rsidRPr="00F44757">
        <w:rPr>
          <w:color w:val="FF0000"/>
          <w:u w:val="single"/>
          <w:lang w:val="en-GB"/>
        </w:rPr>
        <w:t xml:space="preserve">Under </w:t>
      </w:r>
      <w:r w:rsidRPr="002B2DC3">
        <w:rPr>
          <w:color w:val="FF0000"/>
          <w:u w:val="single"/>
          <w:lang w:val="en-GB"/>
        </w:rPr>
        <w:t>national law</w:t>
      </w:r>
      <w:r w:rsidRPr="002B2DC3">
        <w:rPr>
          <w:color w:val="FF0000"/>
          <w:lang w:val="en-GB"/>
        </w:rPr>
        <w:t>, is a temporary transfer possible for the sole purpose of ensuring the presence of the accused at the trial (i.e. without the purpose of gathering evidence)? Is a temporary transfer possible for the purpose of interrogation of the accused at the trial by the trial court?</w:t>
      </w:r>
    </w:p>
    <w:p w14:paraId="1147D8E6" w14:textId="42763A98" w:rsidR="009E7EAA" w:rsidRDefault="009E7EAA" w:rsidP="009E7EAA">
      <w:pPr>
        <w:spacing w:line="360" w:lineRule="auto"/>
        <w:jc w:val="both"/>
        <w:rPr>
          <w:color w:val="FF0000"/>
          <w:lang w:val="en-GB"/>
        </w:rPr>
      </w:pPr>
      <w:r w:rsidRPr="00882403">
        <w:rPr>
          <w:lang w:val="en-US"/>
        </w:rPr>
        <w:t>As has been mentioned before</w:t>
      </w:r>
      <w:r>
        <w:rPr>
          <w:lang w:val="en-US"/>
        </w:rPr>
        <w:t xml:space="preserve"> (</w:t>
      </w:r>
      <w:r>
        <w:rPr>
          <w:i/>
          <w:lang w:val="en-US"/>
        </w:rPr>
        <w:t xml:space="preserve">supra </w:t>
      </w:r>
      <w:r>
        <w:rPr>
          <w:lang w:val="en-US"/>
        </w:rPr>
        <w:t>2.1.1.)</w:t>
      </w:r>
      <w:r w:rsidRPr="00882403">
        <w:rPr>
          <w:lang w:val="en-US"/>
        </w:rPr>
        <w:t xml:space="preserve">, </w:t>
      </w:r>
      <w:r>
        <w:rPr>
          <w:lang w:val="en-US"/>
        </w:rPr>
        <w:t>the transfer of an accused person who is detained in another Member State, cannot be requested by a</w:t>
      </w:r>
      <w:r w:rsidR="001C67F0">
        <w:rPr>
          <w:lang w:val="en-US"/>
        </w:rPr>
        <w:t>n</w:t>
      </w:r>
      <w:r>
        <w:rPr>
          <w:lang w:val="en-US"/>
        </w:rPr>
        <w:t xml:space="preserve"> EIO because the EAW is the suitable and primary cooperation instrument for the surrender of accused persons for the purpose of prosecution (recital (25) DR 2014/41/EU</w:t>
      </w:r>
      <w:r w:rsidR="00BA6EEF">
        <w:rPr>
          <w:lang w:val="en-US"/>
        </w:rPr>
        <w:t xml:space="preserve">; see also </w:t>
      </w:r>
      <w:r w:rsidR="00BA6EEF">
        <w:rPr>
          <w:i/>
          <w:lang w:val="en-US"/>
        </w:rPr>
        <w:t xml:space="preserve">infra </w:t>
      </w:r>
      <w:r w:rsidR="00BA6EEF">
        <w:rPr>
          <w:lang w:val="en-US"/>
        </w:rPr>
        <w:t>on scenario (bb) with regard to temporary surrender</w:t>
      </w:r>
      <w:r>
        <w:rPr>
          <w:lang w:val="en-US"/>
        </w:rPr>
        <w:t>).</w:t>
      </w:r>
      <w:r>
        <w:rPr>
          <w:rStyle w:val="Funotenzeichen"/>
          <w:lang w:val="en-US"/>
        </w:rPr>
        <w:footnoteReference w:id="292"/>
      </w:r>
    </w:p>
    <w:p w14:paraId="7823D24D" w14:textId="77777777" w:rsidR="009E7EAA" w:rsidRPr="00F44757" w:rsidRDefault="009E7EAA" w:rsidP="009E7EAA">
      <w:pPr>
        <w:spacing w:line="360" w:lineRule="auto"/>
        <w:jc w:val="both"/>
        <w:rPr>
          <w:color w:val="FF0000"/>
          <w:lang w:val="en-GB"/>
        </w:rPr>
      </w:pPr>
    </w:p>
    <w:p w14:paraId="3F5B2E13" w14:textId="77777777" w:rsidR="001A090D" w:rsidRDefault="001A090D" w:rsidP="00777A20">
      <w:pPr>
        <w:pStyle w:val="Listenabsatz"/>
        <w:numPr>
          <w:ilvl w:val="0"/>
          <w:numId w:val="33"/>
        </w:numPr>
        <w:spacing w:line="360" w:lineRule="auto"/>
        <w:ind w:left="2410" w:hanging="142"/>
        <w:jc w:val="both"/>
        <w:rPr>
          <w:lang w:val="fr-FR"/>
        </w:rPr>
      </w:pPr>
      <w:r w:rsidRPr="00A43F47">
        <w:rPr>
          <w:lang w:val="fr-FR"/>
        </w:rPr>
        <w:t>EU Convention on Mutual Assistance</w:t>
      </w:r>
    </w:p>
    <w:p w14:paraId="280369DE" w14:textId="77777777" w:rsidR="001A090D" w:rsidRDefault="001A090D" w:rsidP="00777A20">
      <w:pPr>
        <w:spacing w:line="360" w:lineRule="auto"/>
        <w:ind w:left="2268"/>
        <w:jc w:val="both"/>
        <w:rPr>
          <w:color w:val="FF0000"/>
          <w:lang w:val="en-GB"/>
        </w:rPr>
      </w:pPr>
      <w:r w:rsidRPr="00353C2A">
        <w:rPr>
          <w:color w:val="FF0000"/>
          <w:lang w:val="en-GB"/>
        </w:rPr>
        <w:t>Inviting him, e.g., to an interrogation (serving summons abroad)</w:t>
      </w:r>
    </w:p>
    <w:p w14:paraId="7A58F504" w14:textId="65492486" w:rsidR="0041561B" w:rsidRPr="00EE04F1" w:rsidRDefault="0041561B" w:rsidP="0041561B">
      <w:pPr>
        <w:spacing w:line="360" w:lineRule="auto"/>
        <w:jc w:val="both"/>
        <w:rPr>
          <w:lang w:val="en-GB"/>
        </w:rPr>
      </w:pPr>
      <w:r w:rsidRPr="00EE04F1">
        <w:rPr>
          <w:lang w:val="en-GB"/>
        </w:rPr>
        <w:t xml:space="preserve">As German law does not allow for trials </w:t>
      </w:r>
      <w:r w:rsidRPr="0053725F">
        <w:rPr>
          <w:i/>
          <w:lang w:val="en-GB"/>
        </w:rPr>
        <w:t>in absentia</w:t>
      </w:r>
      <w:r w:rsidRPr="00EE04F1">
        <w:rPr>
          <w:lang w:val="en-GB"/>
        </w:rPr>
        <w:t>, serving a summons to the accused person for the sole purpose of an interrogation would be in breach with the rules of procedure</w:t>
      </w:r>
      <w:r w:rsidR="004F704B">
        <w:rPr>
          <w:lang w:val="en-GB"/>
        </w:rPr>
        <w:t>,</w:t>
      </w:r>
      <w:r w:rsidR="00B11FDA">
        <w:rPr>
          <w:lang w:val="en-GB"/>
        </w:rPr>
        <w:t xml:space="preserve"> since it implies </w:t>
      </w:r>
      <w:r w:rsidR="004F704B">
        <w:rPr>
          <w:lang w:val="en-GB"/>
        </w:rPr>
        <w:t xml:space="preserve">the absence of the accused during the rest of the trial. </w:t>
      </w:r>
    </w:p>
    <w:p w14:paraId="353982BA" w14:textId="77777777" w:rsidR="0041561B" w:rsidRPr="00EE04F1" w:rsidRDefault="0041561B" w:rsidP="0041561B">
      <w:pPr>
        <w:spacing w:line="360" w:lineRule="auto"/>
        <w:jc w:val="both"/>
        <w:rPr>
          <w:color w:val="FF0000"/>
          <w:lang w:val="en-GB"/>
        </w:rPr>
      </w:pPr>
    </w:p>
    <w:p w14:paraId="260130C2" w14:textId="77777777" w:rsidR="001A090D" w:rsidRPr="00A43F47" w:rsidRDefault="001A090D" w:rsidP="00777A20">
      <w:pPr>
        <w:pStyle w:val="Listenabsatz"/>
        <w:numPr>
          <w:ilvl w:val="0"/>
          <w:numId w:val="33"/>
        </w:numPr>
        <w:spacing w:line="360" w:lineRule="auto"/>
        <w:ind w:left="2410" w:hanging="142"/>
        <w:jc w:val="both"/>
        <w:rPr>
          <w:lang w:val="en-GB"/>
        </w:rPr>
      </w:pPr>
      <w:r w:rsidRPr="00A43F47">
        <w:rPr>
          <w:lang w:val="en-GB"/>
        </w:rPr>
        <w:t>Convention on Transfer of Proceedings/European Convention on Mutual Assistance in Criminal Matters</w:t>
      </w:r>
    </w:p>
    <w:p w14:paraId="16B8446B" w14:textId="77777777" w:rsidR="001A090D" w:rsidRDefault="001A090D" w:rsidP="00777A20">
      <w:pPr>
        <w:spacing w:line="360" w:lineRule="auto"/>
        <w:ind w:left="2268"/>
        <w:jc w:val="both"/>
        <w:rPr>
          <w:color w:val="FF0000"/>
          <w:lang w:val="en-GB"/>
        </w:rPr>
      </w:pPr>
      <w:r w:rsidRPr="00353C2A">
        <w:rPr>
          <w:color w:val="FF0000"/>
          <w:lang w:val="en-GB"/>
        </w:rPr>
        <w:lastRenderedPageBreak/>
        <w:t xml:space="preserve">Transfer proceedings to the MS where the accused is present. </w:t>
      </w:r>
      <w:bookmarkStart w:id="206" w:name="_Hlk142643849"/>
      <w:r w:rsidRPr="00353C2A">
        <w:rPr>
          <w:color w:val="FF0000"/>
          <w:lang w:val="en-GB"/>
        </w:rPr>
        <w:t xml:space="preserve">This is not an instrument that provides for executing investigative measures/prosecution in the issuing MS, e.g. an interrogation in the issuing MS. However, given that the person concerned is present in another MS and his statement is needed, transferring the proceedings to the MS of residence may be an option. </w:t>
      </w:r>
      <w:bookmarkEnd w:id="206"/>
      <w:r w:rsidRPr="00353C2A">
        <w:rPr>
          <w:color w:val="FF0000"/>
          <w:lang w:val="en-GB"/>
        </w:rPr>
        <w:t xml:space="preserve">Is it possible </w:t>
      </w:r>
      <w:r w:rsidRPr="00353C2A">
        <w:rPr>
          <w:color w:val="FF0000"/>
          <w:u w:val="single"/>
          <w:lang w:val="en-GB"/>
        </w:rPr>
        <w:t>under national law</w:t>
      </w:r>
      <w:r w:rsidRPr="00353C2A">
        <w:rPr>
          <w:color w:val="FF0000"/>
          <w:lang w:val="en-GB"/>
        </w:rPr>
        <w:t xml:space="preserve"> to transfer proceedings that are at the trial stage? </w:t>
      </w:r>
    </w:p>
    <w:p w14:paraId="00134D9B" w14:textId="42A311AF" w:rsidR="00B25ABA" w:rsidRDefault="00BA6EEF" w:rsidP="00B25ABA">
      <w:pPr>
        <w:spacing w:line="360" w:lineRule="auto"/>
        <w:jc w:val="both"/>
        <w:rPr>
          <w:lang w:val="en-US"/>
        </w:rPr>
      </w:pPr>
      <w:r>
        <w:rPr>
          <w:lang w:val="en-US"/>
        </w:rPr>
        <w:t xml:space="preserve">In general, criminal proceedings are not transferred in the trial phase (see </w:t>
      </w:r>
      <w:r>
        <w:rPr>
          <w:i/>
          <w:lang w:val="en-US"/>
        </w:rPr>
        <w:t xml:space="preserve">supra </w:t>
      </w:r>
      <w:r>
        <w:rPr>
          <w:lang w:val="en-US"/>
        </w:rPr>
        <w:t>sub (a)). Moreover</w:t>
      </w:r>
      <w:r w:rsidR="00B25ABA">
        <w:rPr>
          <w:lang w:val="en-US"/>
        </w:rPr>
        <w:t>, a transfer of criminal proceedings usually requires that the accused person has been given the opportunity to give a statement</w:t>
      </w:r>
      <w:r w:rsidR="00515C10">
        <w:rPr>
          <w:lang w:val="en-US"/>
        </w:rPr>
        <w:t>,</w:t>
      </w:r>
      <w:r w:rsidR="00B25ABA">
        <w:rPr>
          <w:rStyle w:val="Funotenzeichen"/>
          <w:lang w:val="en-US"/>
        </w:rPr>
        <w:footnoteReference w:id="293"/>
      </w:r>
      <w:r w:rsidR="00515C10">
        <w:rPr>
          <w:lang w:val="en-US"/>
        </w:rPr>
        <w:t xml:space="preserve"> a requirement that has also been included in Art. 6(3)</w:t>
      </w:r>
      <w:r w:rsidR="001B5EEE">
        <w:rPr>
          <w:lang w:val="en-US"/>
        </w:rPr>
        <w:t xml:space="preserve"> lit. </w:t>
      </w:r>
      <w:r w:rsidR="00515C10">
        <w:rPr>
          <w:lang w:val="en-US"/>
        </w:rPr>
        <w:t xml:space="preserve">b of </w:t>
      </w:r>
      <w:r w:rsidR="00B844FA">
        <w:rPr>
          <w:lang w:val="en-US"/>
        </w:rPr>
        <w:t>Regulation (EU) 2024/3011 on the transfer of proceedings in criminal matters</w:t>
      </w:r>
      <w:r w:rsidR="00515C10">
        <w:rPr>
          <w:lang w:val="en-US"/>
        </w:rPr>
        <w:t xml:space="preserve">. </w:t>
      </w:r>
      <w:r w:rsidR="00B25ABA">
        <w:rPr>
          <w:lang w:val="en-US"/>
        </w:rPr>
        <w:t xml:space="preserve"> So, a transfer of proceedings is not an alternative to the interrogation of the accused person.</w:t>
      </w:r>
    </w:p>
    <w:p w14:paraId="238F05E4" w14:textId="77777777" w:rsidR="00C46545" w:rsidRPr="00353C2A" w:rsidRDefault="00C46545" w:rsidP="00B25ABA">
      <w:pPr>
        <w:spacing w:line="360" w:lineRule="auto"/>
        <w:jc w:val="both"/>
        <w:rPr>
          <w:lang w:val="en-GB"/>
        </w:rPr>
      </w:pPr>
    </w:p>
    <w:p w14:paraId="36256A5A" w14:textId="77777777" w:rsidR="001A090D" w:rsidRPr="00353C2A" w:rsidRDefault="001A090D" w:rsidP="00777A20">
      <w:pPr>
        <w:spacing w:line="360" w:lineRule="auto"/>
        <w:ind w:left="1843"/>
        <w:jc w:val="both"/>
        <w:rPr>
          <w:lang w:val="en-GB"/>
        </w:rPr>
      </w:pPr>
      <w:r w:rsidRPr="00353C2A">
        <w:rPr>
          <w:lang w:val="en-GB"/>
        </w:rPr>
        <w:t xml:space="preserve">(bb) Ensuring that </w:t>
      </w:r>
      <w:r w:rsidR="00A43F47">
        <w:rPr>
          <w:lang w:val="en-GB"/>
        </w:rPr>
        <w:t xml:space="preserve">the </w:t>
      </w:r>
      <w:r w:rsidRPr="00353C2A">
        <w:rPr>
          <w:lang w:val="en-GB"/>
        </w:rPr>
        <w:t>suspect is available</w:t>
      </w:r>
    </w:p>
    <w:p w14:paraId="546DE259" w14:textId="77777777" w:rsidR="001A090D" w:rsidRPr="00A43F47" w:rsidRDefault="001A090D" w:rsidP="00777A20">
      <w:pPr>
        <w:pStyle w:val="Listenabsatz"/>
        <w:numPr>
          <w:ilvl w:val="0"/>
          <w:numId w:val="33"/>
        </w:numPr>
        <w:spacing w:line="360" w:lineRule="auto"/>
        <w:ind w:left="2410" w:hanging="142"/>
        <w:jc w:val="both"/>
        <w:rPr>
          <w:color w:val="FF0000"/>
          <w:lang w:val="en-GB"/>
        </w:rPr>
      </w:pPr>
      <w:r w:rsidRPr="00A43F47">
        <w:rPr>
          <w:lang w:val="en-GB"/>
        </w:rPr>
        <w:t>FD 2002/584/JHA</w:t>
      </w:r>
    </w:p>
    <w:p w14:paraId="16916081" w14:textId="77777777" w:rsidR="001A090D" w:rsidRDefault="001A090D" w:rsidP="00777A20">
      <w:pPr>
        <w:spacing w:line="360" w:lineRule="auto"/>
        <w:ind w:left="2268"/>
        <w:jc w:val="both"/>
        <w:rPr>
          <w:color w:val="FF0000"/>
          <w:lang w:val="en-GB"/>
        </w:rPr>
      </w:pPr>
      <w:r w:rsidRPr="00353C2A">
        <w:rPr>
          <w:color w:val="FF0000"/>
          <w:lang w:val="en-GB"/>
        </w:rPr>
        <w:t>Prosecution-EAW</w:t>
      </w:r>
    </w:p>
    <w:p w14:paraId="73369586" w14:textId="10409280" w:rsidR="00BE73D8" w:rsidRDefault="00DE4457" w:rsidP="00BA6EEF">
      <w:pPr>
        <w:spacing w:line="360" w:lineRule="auto"/>
        <w:jc w:val="both"/>
        <w:rPr>
          <w:lang w:val="en-US"/>
        </w:rPr>
      </w:pPr>
      <w:r>
        <w:rPr>
          <w:lang w:val="en-US"/>
        </w:rPr>
        <w:t>A</w:t>
      </w:r>
      <w:r w:rsidR="00127DD2">
        <w:rPr>
          <w:lang w:val="en-US"/>
        </w:rPr>
        <w:t>n</w:t>
      </w:r>
      <w:r>
        <w:rPr>
          <w:lang w:val="en-US"/>
        </w:rPr>
        <w:t xml:space="preserve"> EAW may only be issued on the basis of a domestic arrest warrant that requires strong suspicion and </w:t>
      </w:r>
      <w:r w:rsidRPr="0033147B">
        <w:rPr>
          <w:lang w:val="en-GB"/>
        </w:rPr>
        <w:t>a ground for arrest</w:t>
      </w:r>
      <w:r w:rsidRPr="00344085">
        <w:rPr>
          <w:lang w:val="en-US"/>
        </w:rPr>
        <w:t xml:space="preserve"> (e.g. risk of flight or tampering with evidence, section 112 CCP).</w:t>
      </w:r>
      <w:r>
        <w:rPr>
          <w:lang w:val="en-US"/>
        </w:rPr>
        <w:t xml:space="preserve"> Moreover, the decision to issue of a</w:t>
      </w:r>
      <w:r w:rsidR="00127DD2">
        <w:rPr>
          <w:lang w:val="en-US"/>
        </w:rPr>
        <w:t>n</w:t>
      </w:r>
      <w:r>
        <w:rPr>
          <w:lang w:val="en-US"/>
        </w:rPr>
        <w:t xml:space="preserve"> EAW must comply with the proportionality principle. </w:t>
      </w:r>
      <w:r w:rsidR="00BE73D8" w:rsidRPr="008B0E5B">
        <w:t>If there are major proportionality concerns, the courts will not issue a national arrest warrant which is a pre-condition for the EAW.</w:t>
      </w:r>
      <w:r w:rsidR="00BE73D8">
        <w:rPr>
          <w:lang w:val="en-US"/>
        </w:rPr>
        <w:t xml:space="preserve"> </w:t>
      </w:r>
      <w:r w:rsidR="0053725F">
        <w:rPr>
          <w:lang w:val="en-US"/>
        </w:rPr>
        <w:t xml:space="preserve">Wherever possible, the issuing authority shall have recourse to </w:t>
      </w:r>
      <w:r w:rsidR="00BE73D8" w:rsidRPr="00E97588">
        <w:t xml:space="preserve">less intrusive alternatives </w:t>
      </w:r>
      <w:r w:rsidR="00BE73D8">
        <w:t>that are equally suitable for achieving the intended purpose</w:t>
      </w:r>
      <w:r w:rsidR="00BE73D8" w:rsidRPr="00E97588">
        <w:t>.</w:t>
      </w:r>
    </w:p>
    <w:p w14:paraId="780925C6" w14:textId="27C6083B" w:rsidR="00BA6EEF" w:rsidRDefault="00DE4457" w:rsidP="00BA6EEF">
      <w:pPr>
        <w:spacing w:line="360" w:lineRule="auto"/>
        <w:jc w:val="both"/>
        <w:rPr>
          <w:color w:val="FF0000"/>
          <w:lang w:val="en-GB"/>
        </w:rPr>
      </w:pPr>
      <w:r>
        <w:rPr>
          <w:lang w:val="en-US"/>
        </w:rPr>
        <w:t>According to public prosecutors, a</w:t>
      </w:r>
      <w:r w:rsidR="00127DD2">
        <w:rPr>
          <w:lang w:val="en-US"/>
        </w:rPr>
        <w:t>n</w:t>
      </w:r>
      <w:r>
        <w:rPr>
          <w:lang w:val="en-US"/>
        </w:rPr>
        <w:t xml:space="preserve"> EAW is not issued unless the expected sentence is imprisonment for a minimum of two years.</w:t>
      </w:r>
      <w:r>
        <w:rPr>
          <w:rStyle w:val="Funotenzeichen"/>
          <w:lang w:val="en-US"/>
        </w:rPr>
        <w:footnoteReference w:id="294"/>
      </w:r>
      <w:r w:rsidR="00BA6EEF">
        <w:rPr>
          <w:lang w:val="en-US"/>
        </w:rPr>
        <w:t xml:space="preserve"> The implementation of the provision on temporary transfer (Art. 24(2) FD 2002/584/JHA, see </w:t>
      </w:r>
      <w:r w:rsidR="00BA6EEF">
        <w:rPr>
          <w:i/>
          <w:lang w:val="en-US"/>
        </w:rPr>
        <w:t>supra</w:t>
      </w:r>
      <w:r w:rsidR="00BA6EEF">
        <w:rPr>
          <w:lang w:val="en-US"/>
        </w:rPr>
        <w:t xml:space="preserve"> 2.1.1.) would enable the trial court to ensure the availability and the presence of the suspect in the trial phase.</w:t>
      </w:r>
      <w:r w:rsidR="00BA6EEF">
        <w:rPr>
          <w:rStyle w:val="Funotenzeichen"/>
          <w:lang w:val="en-US"/>
        </w:rPr>
        <w:footnoteReference w:id="295"/>
      </w:r>
    </w:p>
    <w:p w14:paraId="50C5B8F0" w14:textId="5A173B13" w:rsidR="00503A32" w:rsidRPr="00353C2A" w:rsidRDefault="00503A32" w:rsidP="00503A32">
      <w:pPr>
        <w:spacing w:line="360" w:lineRule="auto"/>
        <w:jc w:val="both"/>
        <w:rPr>
          <w:color w:val="FF0000"/>
          <w:lang w:val="en-GB"/>
        </w:rPr>
      </w:pPr>
    </w:p>
    <w:p w14:paraId="622FE51E" w14:textId="77777777" w:rsidR="001A090D" w:rsidRPr="00A43F47" w:rsidRDefault="001A090D" w:rsidP="00777A20">
      <w:pPr>
        <w:pStyle w:val="Listenabsatz"/>
        <w:numPr>
          <w:ilvl w:val="0"/>
          <w:numId w:val="33"/>
        </w:numPr>
        <w:spacing w:line="360" w:lineRule="auto"/>
        <w:ind w:left="2410" w:hanging="142"/>
        <w:jc w:val="both"/>
        <w:rPr>
          <w:lang w:val="en-GB"/>
        </w:rPr>
      </w:pPr>
      <w:r w:rsidRPr="00A43F47">
        <w:rPr>
          <w:lang w:val="en-GB"/>
        </w:rPr>
        <w:t xml:space="preserve">FD 2009/829/JHA </w:t>
      </w:r>
      <w:r w:rsidRPr="00A43F47">
        <w:rPr>
          <w:color w:val="FF0000"/>
          <w:lang w:val="en-GB"/>
        </w:rPr>
        <w:t>(?)</w:t>
      </w:r>
    </w:p>
    <w:p w14:paraId="627588D6" w14:textId="77525A88" w:rsidR="001A090D" w:rsidRDefault="001A090D" w:rsidP="00777A20">
      <w:pPr>
        <w:spacing w:line="360" w:lineRule="auto"/>
        <w:ind w:left="2268"/>
        <w:jc w:val="both"/>
        <w:rPr>
          <w:color w:val="FF0000"/>
          <w:lang w:val="en-GB"/>
        </w:rPr>
      </w:pPr>
      <w:r w:rsidRPr="00353C2A">
        <w:rPr>
          <w:color w:val="FF0000"/>
          <w:lang w:val="en-GB"/>
        </w:rPr>
        <w:t xml:space="preserve">Is it possible </w:t>
      </w:r>
      <w:r w:rsidRPr="00353C2A">
        <w:rPr>
          <w:color w:val="FF0000"/>
          <w:u w:val="single"/>
          <w:lang w:val="en-GB"/>
        </w:rPr>
        <w:t>under national law</w:t>
      </w:r>
      <w:r w:rsidRPr="00353C2A">
        <w:rPr>
          <w:color w:val="FF0000"/>
          <w:lang w:val="en-GB"/>
        </w:rPr>
        <w:t xml:space="preserve"> to issue an ESO when the person concerned is in </w:t>
      </w:r>
      <w:r w:rsidR="0018691F">
        <w:rPr>
          <w:color w:val="FF0000"/>
          <w:lang w:val="en-GB"/>
        </w:rPr>
        <w:t xml:space="preserve">the </w:t>
      </w:r>
      <w:r w:rsidRPr="00353C2A">
        <w:rPr>
          <w:color w:val="FF0000"/>
          <w:lang w:val="en-GB"/>
        </w:rPr>
        <w:t>MS</w:t>
      </w:r>
      <w:r w:rsidR="0018691F">
        <w:rPr>
          <w:color w:val="FF0000"/>
          <w:lang w:val="en-GB"/>
        </w:rPr>
        <w:t xml:space="preserve"> of his lawful and ordinary residence</w:t>
      </w:r>
      <w:r w:rsidRPr="00353C2A">
        <w:rPr>
          <w:color w:val="FF0000"/>
          <w:lang w:val="en-GB"/>
        </w:rPr>
        <w:t>?</w:t>
      </w:r>
    </w:p>
    <w:p w14:paraId="667BA609" w14:textId="5D4E5E4D" w:rsidR="005619EA" w:rsidRDefault="005619EA" w:rsidP="005619EA">
      <w:pPr>
        <w:spacing w:line="360" w:lineRule="auto"/>
        <w:jc w:val="both"/>
        <w:rPr>
          <w:lang w:val="en-US"/>
        </w:rPr>
      </w:pPr>
      <w:r>
        <w:rPr>
          <w:lang w:val="en-GB"/>
        </w:rPr>
        <w:lastRenderedPageBreak/>
        <w:t>As has been mentioned before</w:t>
      </w:r>
      <w:r w:rsidRPr="009779B1">
        <w:rPr>
          <w:lang w:val="en-US"/>
        </w:rPr>
        <w:t>, the scope of FD 2009/829/JHA does not cover the scenario that a</w:t>
      </w:r>
      <w:r w:rsidR="001C67F0">
        <w:rPr>
          <w:lang w:val="en-US"/>
        </w:rPr>
        <w:t>n</w:t>
      </w:r>
      <w:r w:rsidRPr="009779B1">
        <w:rPr>
          <w:lang w:val="en-US"/>
        </w:rPr>
        <w:t xml:space="preserve"> ESO is issued if the person concerned has already left the issuing Member State (Germany) and has returned to his home country</w:t>
      </w:r>
      <w:r>
        <w:rPr>
          <w:lang w:val="en-US"/>
        </w:rPr>
        <w:t xml:space="preserve"> (</w:t>
      </w:r>
      <w:r>
        <w:rPr>
          <w:i/>
          <w:lang w:val="en-US"/>
        </w:rPr>
        <w:t xml:space="preserve">supra </w:t>
      </w:r>
      <w:r>
        <w:rPr>
          <w:lang w:val="en-US"/>
        </w:rPr>
        <w:t>2.1.1.)</w:t>
      </w:r>
      <w:r w:rsidRPr="009779B1">
        <w:rPr>
          <w:lang w:val="en-US"/>
        </w:rPr>
        <w:t>.</w:t>
      </w:r>
      <w:r w:rsidRPr="009779B1">
        <w:rPr>
          <w:vertAlign w:val="superscript"/>
          <w:lang w:val="en-US"/>
        </w:rPr>
        <w:footnoteReference w:id="296"/>
      </w:r>
      <w:r w:rsidRPr="009779B1">
        <w:rPr>
          <w:lang w:val="en-US"/>
        </w:rPr>
        <w:t xml:space="preserve"> </w:t>
      </w:r>
      <w:r>
        <w:rPr>
          <w:lang w:val="en-US"/>
        </w:rPr>
        <w:t xml:space="preserve">German </w:t>
      </w:r>
      <w:r w:rsidRPr="009779B1">
        <w:rPr>
          <w:lang w:val="en-US"/>
        </w:rPr>
        <w:t xml:space="preserve">law, however, </w:t>
      </w:r>
      <w:r>
        <w:rPr>
          <w:lang w:val="en-US"/>
        </w:rPr>
        <w:t>allows for</w:t>
      </w:r>
      <w:r w:rsidRPr="009779B1">
        <w:rPr>
          <w:lang w:val="en-US"/>
        </w:rPr>
        <w:t xml:space="preserve"> the issuing of a</w:t>
      </w:r>
      <w:r w:rsidR="001C67F0">
        <w:rPr>
          <w:lang w:val="en-US"/>
        </w:rPr>
        <w:t>n</w:t>
      </w:r>
      <w:r w:rsidRPr="009779B1">
        <w:rPr>
          <w:lang w:val="en-US"/>
        </w:rPr>
        <w:t xml:space="preserve"> ESO where the suspect has already returned to another Member State (section 90y(1) No. 3 AICCM).</w:t>
      </w:r>
      <w:r w:rsidRPr="009779B1">
        <w:rPr>
          <w:vertAlign w:val="superscript"/>
          <w:lang w:val="en-US"/>
        </w:rPr>
        <w:footnoteReference w:id="297"/>
      </w:r>
      <w:r w:rsidRPr="009779B1">
        <w:rPr>
          <w:lang w:val="en-US"/>
        </w:rPr>
        <w:t xml:space="preserve"> </w:t>
      </w:r>
      <w:r>
        <w:rPr>
          <w:lang w:val="en-US"/>
        </w:rPr>
        <w:t>In this case, t</w:t>
      </w:r>
      <w:r w:rsidRPr="009779B1">
        <w:rPr>
          <w:lang w:val="en-US"/>
        </w:rPr>
        <w:t>he executing Member State is not obliged to recognize and monitor the supervision measures.</w:t>
      </w:r>
      <w:r w:rsidRPr="009779B1">
        <w:rPr>
          <w:vertAlign w:val="superscript"/>
          <w:lang w:val="en-US"/>
        </w:rPr>
        <w:footnoteReference w:id="298"/>
      </w:r>
    </w:p>
    <w:p w14:paraId="0F6EF4CF" w14:textId="77777777" w:rsidR="00AC5A92" w:rsidRPr="00DC676A" w:rsidRDefault="00AC5A92" w:rsidP="005619EA">
      <w:pPr>
        <w:spacing w:line="360" w:lineRule="auto"/>
        <w:jc w:val="both"/>
        <w:rPr>
          <w:lang w:val="en-US"/>
        </w:rPr>
      </w:pPr>
    </w:p>
    <w:p w14:paraId="40CD8AB6" w14:textId="77777777" w:rsidR="005619EA" w:rsidRPr="00DC676A" w:rsidRDefault="005619EA" w:rsidP="005619EA">
      <w:pPr>
        <w:spacing w:line="360" w:lineRule="auto"/>
        <w:jc w:val="both"/>
        <w:rPr>
          <w:lang w:val="en-US"/>
        </w:rPr>
      </w:pPr>
    </w:p>
    <w:p w14:paraId="520F6AE2" w14:textId="77777777" w:rsidR="001A090D" w:rsidRPr="00A43F47" w:rsidRDefault="001A090D" w:rsidP="00777A20">
      <w:pPr>
        <w:pStyle w:val="Listenabsatz"/>
        <w:numPr>
          <w:ilvl w:val="0"/>
          <w:numId w:val="33"/>
        </w:numPr>
        <w:spacing w:line="360" w:lineRule="auto"/>
        <w:ind w:left="2410" w:hanging="142"/>
        <w:jc w:val="both"/>
        <w:rPr>
          <w:color w:val="FF0000"/>
          <w:lang w:val="fr-FR"/>
        </w:rPr>
      </w:pPr>
      <w:r w:rsidRPr="00A43F47">
        <w:rPr>
          <w:lang w:val="fr-FR"/>
        </w:rPr>
        <w:t>EU Convention on Mutual Assistance</w:t>
      </w:r>
    </w:p>
    <w:p w14:paraId="34844495" w14:textId="77777777" w:rsidR="001A090D" w:rsidRPr="00353C2A" w:rsidRDefault="001A090D" w:rsidP="00777A20">
      <w:pPr>
        <w:spacing w:line="360" w:lineRule="auto"/>
        <w:ind w:left="2268"/>
        <w:jc w:val="both"/>
        <w:rPr>
          <w:color w:val="FF0000"/>
          <w:lang w:val="en-GB"/>
        </w:rPr>
      </w:pPr>
      <w:r w:rsidRPr="00353C2A">
        <w:rPr>
          <w:color w:val="FF0000"/>
          <w:lang w:val="en-GB"/>
        </w:rPr>
        <w:t>Keeping in contact with the person concerned while he is abroad (sending/service of documents)</w:t>
      </w:r>
    </w:p>
    <w:p w14:paraId="5147D1DC" w14:textId="77777777" w:rsidR="001A090D" w:rsidRPr="00A43F47" w:rsidRDefault="001A090D" w:rsidP="00777A20">
      <w:pPr>
        <w:pStyle w:val="Listenabsatz"/>
        <w:numPr>
          <w:ilvl w:val="0"/>
          <w:numId w:val="33"/>
        </w:numPr>
        <w:spacing w:line="360" w:lineRule="auto"/>
        <w:ind w:left="2410" w:hanging="142"/>
        <w:jc w:val="both"/>
        <w:rPr>
          <w:color w:val="FF0000"/>
          <w:lang w:val="en-GB"/>
        </w:rPr>
      </w:pPr>
      <w:r w:rsidRPr="00A43F47">
        <w:rPr>
          <w:lang w:val="en-GB"/>
        </w:rPr>
        <w:t xml:space="preserve">Convention on Transfer of Proceedings/European Convention on Mutual Assistance in Criminal Matters </w:t>
      </w:r>
    </w:p>
    <w:p w14:paraId="4B4AB492" w14:textId="3BC47BC3" w:rsidR="001A090D" w:rsidRPr="00353C2A" w:rsidRDefault="001A090D" w:rsidP="00777A20">
      <w:pPr>
        <w:spacing w:line="360" w:lineRule="auto"/>
        <w:ind w:left="2268"/>
        <w:jc w:val="both"/>
        <w:rPr>
          <w:color w:val="FF0000"/>
          <w:lang w:val="en-GB"/>
        </w:rPr>
      </w:pPr>
      <w:r w:rsidRPr="00353C2A">
        <w:rPr>
          <w:color w:val="FF0000"/>
          <w:lang w:val="en-GB"/>
        </w:rPr>
        <w:t>Transfer of proceedings to</w:t>
      </w:r>
      <w:r w:rsidRPr="00353C2A">
        <w:rPr>
          <w:lang w:val="en-GB"/>
        </w:rPr>
        <w:t xml:space="preserve"> </w:t>
      </w:r>
      <w:r w:rsidRPr="00353C2A">
        <w:rPr>
          <w:color w:val="FF0000"/>
          <w:lang w:val="en-GB"/>
        </w:rPr>
        <w:t xml:space="preserve">the MS where the accused is present (in order for him to be present at the trial in that MS). This is not an instrument that provides for ensuring that a suspect is available for executing investigative measures/prosecution in the issuing MS, e.g. interrogation, nor for ensuring his availability for the benefit of the trial in the issuing MS. However, given that the person concerned is present in another MS, transferring the proceedings to that MS may be an option. Is it possible </w:t>
      </w:r>
      <w:r w:rsidRPr="00353C2A">
        <w:rPr>
          <w:color w:val="FF0000"/>
          <w:u w:val="single"/>
          <w:lang w:val="en-GB"/>
        </w:rPr>
        <w:t>under national law</w:t>
      </w:r>
      <w:r w:rsidRPr="00353C2A">
        <w:rPr>
          <w:color w:val="FF0000"/>
          <w:lang w:val="en-GB"/>
        </w:rPr>
        <w:t xml:space="preserve"> to transfer proceedings that are at</w:t>
      </w:r>
      <w:r w:rsidR="003577A5">
        <w:rPr>
          <w:color w:val="FF0000"/>
          <w:lang w:val="en-GB"/>
        </w:rPr>
        <w:t xml:space="preserve"> </w:t>
      </w:r>
      <w:r w:rsidRPr="00353C2A">
        <w:rPr>
          <w:color w:val="FF0000"/>
          <w:lang w:val="en-GB"/>
        </w:rPr>
        <w:t xml:space="preserve">the trial stage? </w:t>
      </w:r>
    </w:p>
    <w:p w14:paraId="0BFE221A" w14:textId="77777777" w:rsidR="001A090D" w:rsidRDefault="001A090D" w:rsidP="00777A20">
      <w:pPr>
        <w:spacing w:line="360" w:lineRule="auto"/>
        <w:ind w:left="1843" w:firstLine="3"/>
        <w:jc w:val="both"/>
        <w:rPr>
          <w:lang w:val="en-GB"/>
        </w:rPr>
      </w:pPr>
      <w:r w:rsidRPr="00353C2A">
        <w:rPr>
          <w:lang w:val="en-GB"/>
        </w:rPr>
        <w:t>(cc) Ensuring the suspect’s presence at trial</w:t>
      </w:r>
    </w:p>
    <w:p w14:paraId="446F0132" w14:textId="173E793D" w:rsidR="00DE4457" w:rsidRPr="00353C2A" w:rsidRDefault="00DE4457" w:rsidP="00DE4457">
      <w:pPr>
        <w:spacing w:line="360" w:lineRule="auto"/>
        <w:jc w:val="both"/>
        <w:rPr>
          <w:lang w:val="en-GB"/>
        </w:rPr>
      </w:pPr>
      <w:r>
        <w:rPr>
          <w:lang w:val="en-GB"/>
        </w:rPr>
        <w:t>The considerations on scenario (bb) apply accordingly because the availability and the presence of the accused person in the trial phase cannot be distinguished in the German criminal justice system; both aspects originate from the obligation to be present at the trial (section 230 CCP).</w:t>
      </w:r>
    </w:p>
    <w:p w14:paraId="2F6F09DA" w14:textId="77777777" w:rsidR="001A090D" w:rsidRPr="00A43F47" w:rsidRDefault="001A090D" w:rsidP="00777A20">
      <w:pPr>
        <w:pStyle w:val="Listenabsatz"/>
        <w:numPr>
          <w:ilvl w:val="0"/>
          <w:numId w:val="33"/>
        </w:numPr>
        <w:spacing w:line="360" w:lineRule="auto"/>
        <w:ind w:left="2410" w:hanging="142"/>
        <w:jc w:val="both"/>
        <w:rPr>
          <w:color w:val="FF0000"/>
          <w:lang w:val="en-GB"/>
        </w:rPr>
      </w:pPr>
      <w:r w:rsidRPr="00A43F47">
        <w:rPr>
          <w:lang w:val="en-GB"/>
        </w:rPr>
        <w:t>FD 2002/584/JHA</w:t>
      </w:r>
    </w:p>
    <w:p w14:paraId="51D9B1D5" w14:textId="77777777" w:rsidR="001A090D" w:rsidRPr="00353C2A" w:rsidRDefault="001A090D" w:rsidP="00777A20">
      <w:pPr>
        <w:spacing w:line="360" w:lineRule="auto"/>
        <w:ind w:left="2268"/>
        <w:jc w:val="both"/>
        <w:rPr>
          <w:color w:val="FF0000"/>
          <w:lang w:val="en-GB"/>
        </w:rPr>
      </w:pPr>
      <w:r w:rsidRPr="00353C2A">
        <w:rPr>
          <w:color w:val="FF0000"/>
          <w:lang w:val="en-GB"/>
        </w:rPr>
        <w:t>Prosecution-EAW</w:t>
      </w:r>
    </w:p>
    <w:p w14:paraId="278816B7" w14:textId="77777777" w:rsidR="001A090D" w:rsidRPr="00A43F47" w:rsidRDefault="001A090D" w:rsidP="00777A20">
      <w:pPr>
        <w:pStyle w:val="Listenabsatz"/>
        <w:numPr>
          <w:ilvl w:val="0"/>
          <w:numId w:val="33"/>
        </w:numPr>
        <w:spacing w:line="360" w:lineRule="auto"/>
        <w:ind w:left="2410" w:hanging="142"/>
        <w:jc w:val="both"/>
        <w:rPr>
          <w:lang w:val="en-GB"/>
        </w:rPr>
      </w:pPr>
      <w:r w:rsidRPr="00A43F47">
        <w:rPr>
          <w:lang w:val="en-GB"/>
        </w:rPr>
        <w:t xml:space="preserve">FD 2009/829/JHA </w:t>
      </w:r>
      <w:r w:rsidRPr="00A43F47">
        <w:rPr>
          <w:color w:val="FF0000"/>
          <w:lang w:val="en-GB"/>
        </w:rPr>
        <w:t>(?)</w:t>
      </w:r>
    </w:p>
    <w:p w14:paraId="2ADC3842" w14:textId="2D681841" w:rsidR="001A090D" w:rsidRPr="00353C2A" w:rsidRDefault="001A090D" w:rsidP="00777A20">
      <w:pPr>
        <w:spacing w:line="360" w:lineRule="auto"/>
        <w:ind w:left="2268"/>
        <w:jc w:val="both"/>
        <w:rPr>
          <w:lang w:val="en-GB"/>
        </w:rPr>
      </w:pPr>
      <w:r w:rsidRPr="00353C2A">
        <w:rPr>
          <w:color w:val="FF0000"/>
          <w:lang w:val="en-GB"/>
        </w:rPr>
        <w:lastRenderedPageBreak/>
        <w:t xml:space="preserve">Is it possible </w:t>
      </w:r>
      <w:r w:rsidRPr="00353C2A">
        <w:rPr>
          <w:color w:val="FF0000"/>
          <w:u w:val="single"/>
          <w:lang w:val="en-GB"/>
        </w:rPr>
        <w:t>under national law</w:t>
      </w:r>
      <w:r w:rsidRPr="00353C2A">
        <w:rPr>
          <w:color w:val="FF0000"/>
          <w:lang w:val="en-GB"/>
        </w:rPr>
        <w:t xml:space="preserve"> to issue an ESO when the person concerned is </w:t>
      </w:r>
      <w:r w:rsidR="0018691F">
        <w:rPr>
          <w:color w:val="FF0000"/>
          <w:lang w:val="en-GB"/>
        </w:rPr>
        <w:t xml:space="preserve">the </w:t>
      </w:r>
      <w:r w:rsidRPr="00353C2A">
        <w:rPr>
          <w:color w:val="FF0000"/>
          <w:lang w:val="en-GB"/>
        </w:rPr>
        <w:t>MS</w:t>
      </w:r>
      <w:r w:rsidR="0018691F">
        <w:rPr>
          <w:color w:val="FF0000"/>
          <w:lang w:val="en-GB"/>
        </w:rPr>
        <w:t xml:space="preserve"> of his ordinary residence</w:t>
      </w:r>
      <w:r w:rsidRPr="00353C2A">
        <w:rPr>
          <w:color w:val="FF0000"/>
          <w:lang w:val="en-GB"/>
        </w:rPr>
        <w:t>?</w:t>
      </w:r>
    </w:p>
    <w:p w14:paraId="5D670448" w14:textId="1750ECB2" w:rsidR="001A090D" w:rsidRPr="00A43F47" w:rsidRDefault="001A090D" w:rsidP="00777A20">
      <w:pPr>
        <w:pStyle w:val="Listenabsatz"/>
        <w:numPr>
          <w:ilvl w:val="0"/>
          <w:numId w:val="33"/>
        </w:numPr>
        <w:spacing w:line="360" w:lineRule="auto"/>
        <w:ind w:left="2410" w:hanging="142"/>
        <w:jc w:val="both"/>
        <w:rPr>
          <w:lang w:val="en-GB"/>
        </w:rPr>
      </w:pPr>
      <w:r w:rsidRPr="00A43F47">
        <w:rPr>
          <w:lang w:val="en-GB"/>
        </w:rPr>
        <w:t xml:space="preserve">DR 2014/41 </w:t>
      </w:r>
      <w:r w:rsidRPr="00A43F47">
        <w:rPr>
          <w:color w:val="FF0000"/>
          <w:lang w:val="en-GB"/>
        </w:rPr>
        <w:t>(?)</w:t>
      </w:r>
      <w:r w:rsidR="00DE69B4">
        <w:rPr>
          <w:rStyle w:val="Funotenzeichen"/>
          <w:color w:val="FF0000"/>
          <w:lang w:val="en-GB"/>
        </w:rPr>
        <w:footnoteReference w:id="299"/>
      </w:r>
    </w:p>
    <w:p w14:paraId="541C22DC" w14:textId="594E6361" w:rsidR="001A090D" w:rsidRPr="00353C2A" w:rsidRDefault="001A090D" w:rsidP="00777A20">
      <w:pPr>
        <w:spacing w:line="360" w:lineRule="auto"/>
        <w:ind w:left="2268"/>
        <w:jc w:val="both"/>
        <w:rPr>
          <w:color w:val="FF0000"/>
          <w:lang w:val="en-GB"/>
        </w:rPr>
      </w:pPr>
      <w:r w:rsidRPr="00353C2A">
        <w:rPr>
          <w:color w:val="FF0000"/>
          <w:lang w:val="en-GB"/>
        </w:rPr>
        <w:t xml:space="preserve">Is it possible </w:t>
      </w:r>
      <w:r w:rsidRPr="00353C2A">
        <w:rPr>
          <w:color w:val="FF0000"/>
          <w:u w:val="single"/>
          <w:lang w:val="en-GB"/>
        </w:rPr>
        <w:t>under national law</w:t>
      </w:r>
      <w:r w:rsidRPr="00353C2A">
        <w:rPr>
          <w:color w:val="FF0000"/>
          <w:lang w:val="en-GB"/>
        </w:rPr>
        <w:t xml:space="preserve"> to employ an EIO for the purpose of ensuring </w:t>
      </w:r>
      <w:r w:rsidR="003577A5">
        <w:rPr>
          <w:color w:val="FF0000"/>
          <w:lang w:val="en-GB"/>
        </w:rPr>
        <w:t xml:space="preserve">the </w:t>
      </w:r>
      <w:r w:rsidRPr="00353C2A">
        <w:rPr>
          <w:color w:val="FF0000"/>
          <w:lang w:val="en-GB"/>
        </w:rPr>
        <w:t>presence of the accused at the trial</w:t>
      </w:r>
      <w:r w:rsidR="00654C6D">
        <w:rPr>
          <w:color w:val="FF0000"/>
          <w:lang w:val="en-GB"/>
        </w:rPr>
        <w:t xml:space="preserve"> (either through a videoconference or a temporary transfer)</w:t>
      </w:r>
      <w:r w:rsidRPr="00353C2A">
        <w:rPr>
          <w:color w:val="FF0000"/>
          <w:lang w:val="en-GB"/>
        </w:rPr>
        <w:t>?</w:t>
      </w:r>
    </w:p>
    <w:p w14:paraId="5672308E" w14:textId="77777777" w:rsidR="001A090D" w:rsidRPr="00A43F47" w:rsidRDefault="001A090D" w:rsidP="00777A20">
      <w:pPr>
        <w:pStyle w:val="Listenabsatz"/>
        <w:numPr>
          <w:ilvl w:val="0"/>
          <w:numId w:val="33"/>
        </w:numPr>
        <w:spacing w:line="360" w:lineRule="auto"/>
        <w:ind w:left="2410" w:hanging="142"/>
        <w:jc w:val="both"/>
        <w:rPr>
          <w:color w:val="FF0000"/>
          <w:lang w:val="fr-FR"/>
        </w:rPr>
      </w:pPr>
      <w:r w:rsidRPr="00A43F47">
        <w:rPr>
          <w:lang w:val="fr-FR"/>
        </w:rPr>
        <w:t>EU Convention on Mutual Assistance</w:t>
      </w:r>
    </w:p>
    <w:p w14:paraId="75BDA13B" w14:textId="77777777" w:rsidR="001A090D" w:rsidRPr="00353C2A" w:rsidRDefault="001A090D" w:rsidP="00777A20">
      <w:pPr>
        <w:spacing w:line="360" w:lineRule="auto"/>
        <w:ind w:left="2268"/>
        <w:jc w:val="both"/>
        <w:rPr>
          <w:color w:val="FF0000"/>
          <w:lang w:val="en-GB"/>
        </w:rPr>
      </w:pPr>
      <w:r w:rsidRPr="00353C2A">
        <w:rPr>
          <w:color w:val="FF0000"/>
          <w:lang w:val="en-GB"/>
        </w:rPr>
        <w:t>Summoning the person concerned abroad</w:t>
      </w:r>
    </w:p>
    <w:p w14:paraId="06DF58FC" w14:textId="77777777" w:rsidR="001A090D" w:rsidRPr="00A43F47" w:rsidRDefault="001A090D" w:rsidP="00777A20">
      <w:pPr>
        <w:pStyle w:val="Listenabsatz"/>
        <w:numPr>
          <w:ilvl w:val="0"/>
          <w:numId w:val="33"/>
        </w:numPr>
        <w:spacing w:line="360" w:lineRule="auto"/>
        <w:ind w:left="2410" w:hanging="142"/>
        <w:jc w:val="both"/>
        <w:rPr>
          <w:lang w:val="en-GB"/>
        </w:rPr>
      </w:pPr>
      <w:r w:rsidRPr="00A43F47">
        <w:rPr>
          <w:lang w:val="en-GB"/>
        </w:rPr>
        <w:t xml:space="preserve">European Convention on Transfer/European Convention on Mutual Assistance in Criminal Matters </w:t>
      </w:r>
      <w:r w:rsidRPr="00A43F47">
        <w:rPr>
          <w:color w:val="FF0000"/>
          <w:lang w:val="en-GB"/>
        </w:rPr>
        <w:t>(?)</w:t>
      </w:r>
    </w:p>
    <w:p w14:paraId="50EC6784" w14:textId="77777777" w:rsidR="003A1EB0" w:rsidRDefault="001A090D" w:rsidP="003A1EB0">
      <w:pPr>
        <w:spacing w:line="360" w:lineRule="auto"/>
        <w:ind w:left="2268"/>
        <w:jc w:val="both"/>
        <w:rPr>
          <w:color w:val="FF0000"/>
          <w:lang w:val="en-GB"/>
        </w:rPr>
      </w:pPr>
      <w:r w:rsidRPr="00353C2A">
        <w:rPr>
          <w:color w:val="FF0000"/>
          <w:lang w:val="en-GB"/>
        </w:rPr>
        <w:t xml:space="preserve">Transfer of proceedings. This is not an instrument that provides for ensuring the suspect’s presence at the trial in the issuing MS. However, given that the person concerned is present in another MS and his statement is needed, transferring the proceedings to the MS of residence may be an option. Is it possible </w:t>
      </w:r>
      <w:r w:rsidRPr="00353C2A">
        <w:rPr>
          <w:color w:val="FF0000"/>
          <w:u w:val="single"/>
          <w:lang w:val="en-GB"/>
        </w:rPr>
        <w:t>under national law</w:t>
      </w:r>
      <w:r w:rsidRPr="00353C2A">
        <w:rPr>
          <w:color w:val="FF0000"/>
          <w:lang w:val="en-GB"/>
        </w:rPr>
        <w:t xml:space="preserve"> to transfer proceedings that are at the trial stage?</w:t>
      </w:r>
      <w:bookmarkStart w:id="207" w:name="_Hlk140229732"/>
    </w:p>
    <w:bookmarkEnd w:id="207"/>
    <w:p w14:paraId="390240DB" w14:textId="1BA465EA" w:rsidR="003A1EB0" w:rsidRPr="003A1EB0" w:rsidRDefault="003A1EB0" w:rsidP="003A1EB0">
      <w:pPr>
        <w:spacing w:line="360" w:lineRule="auto"/>
        <w:ind w:left="1843"/>
        <w:jc w:val="both"/>
        <w:rPr>
          <w:lang w:val="en-GB"/>
        </w:rPr>
      </w:pPr>
      <w:r>
        <w:rPr>
          <w:lang w:val="en-GB"/>
        </w:rPr>
        <w:t xml:space="preserve">(dd) </w:t>
      </w:r>
      <w:r w:rsidR="001A090D" w:rsidRPr="003A1EB0">
        <w:rPr>
          <w:lang w:val="en-GB"/>
        </w:rPr>
        <w:t>Other (?)</w:t>
      </w:r>
      <w:bookmarkStart w:id="208" w:name="_Toc147328928"/>
      <w:bookmarkStart w:id="209" w:name="_Toc147328990"/>
      <w:bookmarkStart w:id="210" w:name="_Toc147329102"/>
    </w:p>
    <w:p w14:paraId="6AAE02F4" w14:textId="1436C6AD" w:rsidR="003A1EB0" w:rsidRDefault="003A1EB0">
      <w:pPr>
        <w:spacing w:after="160" w:line="259" w:lineRule="auto"/>
        <w:rPr>
          <w:lang w:val="en-GB"/>
        </w:rPr>
      </w:pPr>
    </w:p>
    <w:p w14:paraId="49531874" w14:textId="6FF02450" w:rsidR="00A43F47" w:rsidRPr="003A1EB0" w:rsidRDefault="00A43F47" w:rsidP="003A1EB0">
      <w:pPr>
        <w:pStyle w:val="berschrift1"/>
        <w:rPr>
          <w:lang w:val="en-GB"/>
        </w:rPr>
      </w:pPr>
      <w:bookmarkStart w:id="211" w:name="_Toc170228532"/>
      <w:r w:rsidRPr="003A1EB0">
        <w:rPr>
          <w:lang w:val="en-GB"/>
        </w:rPr>
        <w:t xml:space="preserve">The instruments and </w:t>
      </w:r>
      <w:r w:rsidR="007A3DAF" w:rsidRPr="003A1EB0">
        <w:rPr>
          <w:lang w:val="en-GB"/>
        </w:rPr>
        <w:t xml:space="preserve">sentence </w:t>
      </w:r>
      <w:r w:rsidRPr="003A1EB0">
        <w:rPr>
          <w:lang w:val="en-GB"/>
        </w:rPr>
        <w:t>enforcement</w:t>
      </w:r>
      <w:bookmarkEnd w:id="208"/>
      <w:bookmarkEnd w:id="209"/>
      <w:bookmarkEnd w:id="210"/>
      <w:bookmarkEnd w:id="211"/>
    </w:p>
    <w:p w14:paraId="13DDE3B9" w14:textId="77777777" w:rsidR="00A43F47" w:rsidRPr="003A5F21" w:rsidRDefault="00A43F47" w:rsidP="00777A20">
      <w:pPr>
        <w:jc w:val="both"/>
        <w:rPr>
          <w:b/>
          <w:color w:val="FF0000"/>
          <w:lang w:val="en-GB"/>
        </w:rPr>
      </w:pPr>
      <w:r>
        <w:rPr>
          <w:b/>
          <w:color w:val="FF0000"/>
          <w:lang w:val="en-GB"/>
        </w:rPr>
        <w:t>General introduction</w:t>
      </w:r>
    </w:p>
    <w:p w14:paraId="4275F1EB" w14:textId="77777777" w:rsidR="00A43F47" w:rsidRDefault="00A43F47" w:rsidP="00777A20">
      <w:pPr>
        <w:jc w:val="both"/>
        <w:rPr>
          <w:lang w:val="en-GB"/>
        </w:rPr>
      </w:pPr>
    </w:p>
    <w:p w14:paraId="41CEA9AD" w14:textId="77777777" w:rsidR="00A43F47" w:rsidRPr="00353C2A" w:rsidRDefault="00A43F47" w:rsidP="00777A20">
      <w:pPr>
        <w:spacing w:line="360" w:lineRule="auto"/>
        <w:jc w:val="both"/>
        <w:rPr>
          <w:color w:val="FF0000"/>
          <w:lang w:val="en-GB"/>
        </w:rPr>
      </w:pPr>
      <w:r w:rsidRPr="00353C2A">
        <w:rPr>
          <w:color w:val="FF0000"/>
          <w:lang w:val="en-GB"/>
        </w:rPr>
        <w:t>The enforcement stage starts once the sentence imposed on the convicted person (custodial sentence/measure of deprivation of liberty, alternative sanction, probation decision) is final and enforceable.</w:t>
      </w:r>
    </w:p>
    <w:p w14:paraId="30501B81" w14:textId="77777777" w:rsidR="00A43F47" w:rsidRPr="00353C2A" w:rsidRDefault="00A43F47" w:rsidP="00777A20">
      <w:pPr>
        <w:spacing w:line="360" w:lineRule="auto"/>
        <w:jc w:val="both"/>
        <w:rPr>
          <w:color w:val="FF0000"/>
          <w:lang w:val="en-GB"/>
        </w:rPr>
      </w:pPr>
    </w:p>
    <w:p w14:paraId="0C3BEC8C" w14:textId="49B19056" w:rsidR="00A43F47" w:rsidRPr="00A43F47" w:rsidRDefault="00A43F47" w:rsidP="00777A20">
      <w:pPr>
        <w:spacing w:line="360" w:lineRule="auto"/>
        <w:jc w:val="both"/>
        <w:rPr>
          <w:color w:val="FF0000"/>
          <w:lang w:val="en-GB"/>
        </w:rPr>
      </w:pPr>
      <w:r w:rsidRPr="00353C2A">
        <w:rPr>
          <w:color w:val="FF0000"/>
          <w:lang w:val="en-GB"/>
        </w:rPr>
        <w:t>As with Chapter 2, first</w:t>
      </w:r>
      <w:r w:rsidR="003577A5">
        <w:rPr>
          <w:color w:val="FF0000"/>
          <w:lang w:val="en-GB"/>
        </w:rPr>
        <w:t>,</w:t>
      </w:r>
      <w:r w:rsidRPr="00353C2A">
        <w:rPr>
          <w:color w:val="FF0000"/>
          <w:lang w:val="en-GB"/>
        </w:rPr>
        <w:t xml:space="preserve"> the instruments that are applicable to the enforcement stage </w:t>
      </w:r>
      <w:r w:rsidRPr="00353C2A">
        <w:rPr>
          <w:i/>
          <w:iCs/>
          <w:color w:val="FF0000"/>
          <w:lang w:val="en-GB"/>
        </w:rPr>
        <w:t>in abstracto</w:t>
      </w:r>
      <w:r w:rsidRPr="00353C2A">
        <w:rPr>
          <w:color w:val="FF0000"/>
          <w:lang w:val="en-GB"/>
        </w:rPr>
        <w:t xml:space="preserve"> are listed (section 3.1), distinguishing between two situations: the person concerned is present in the issuing MS and he is present in another MS. Subsequently, in section 3.2 specific needs for judicial cooperation are tied to the variou</w:t>
      </w:r>
      <w:r>
        <w:rPr>
          <w:color w:val="FF0000"/>
          <w:lang w:val="en-GB"/>
        </w:rPr>
        <w:t>s instruments. These needs are:</w:t>
      </w:r>
    </w:p>
    <w:p w14:paraId="71EE71AD" w14:textId="77777777" w:rsidR="00A43F47" w:rsidRPr="00A43F47" w:rsidRDefault="00A43F47" w:rsidP="003A1EB0">
      <w:pPr>
        <w:pStyle w:val="Listenabsatz"/>
        <w:numPr>
          <w:ilvl w:val="0"/>
          <w:numId w:val="34"/>
        </w:numPr>
        <w:spacing w:line="360" w:lineRule="auto"/>
        <w:ind w:left="2977" w:hanging="145"/>
        <w:jc w:val="both"/>
        <w:rPr>
          <w:color w:val="FF0000"/>
          <w:lang w:val="en-GB"/>
        </w:rPr>
      </w:pPr>
      <w:r w:rsidRPr="00A43F47">
        <w:rPr>
          <w:color w:val="FF0000"/>
          <w:lang w:val="en-GB"/>
        </w:rPr>
        <w:t>enforcement in another MS;</w:t>
      </w:r>
    </w:p>
    <w:p w14:paraId="638BEA3D" w14:textId="77777777" w:rsidR="00A43F47" w:rsidRPr="00AA0269" w:rsidRDefault="00A43F47" w:rsidP="003A1EB0">
      <w:pPr>
        <w:numPr>
          <w:ilvl w:val="0"/>
          <w:numId w:val="34"/>
        </w:numPr>
        <w:spacing w:line="360" w:lineRule="auto"/>
        <w:ind w:left="3544" w:hanging="709"/>
        <w:contextualSpacing/>
        <w:jc w:val="both"/>
        <w:rPr>
          <w:color w:val="FF0000"/>
          <w:lang w:val="en-GB"/>
        </w:rPr>
      </w:pPr>
      <w:r w:rsidRPr="00353C2A">
        <w:rPr>
          <w:color w:val="FF0000"/>
          <w:lang w:val="en-GB"/>
        </w:rPr>
        <w:t>enforcement in the issuing MS (if the person concerned is present in another MS).</w:t>
      </w:r>
    </w:p>
    <w:p w14:paraId="09A611B0" w14:textId="77777777" w:rsidR="00A43F47" w:rsidRPr="00353C2A" w:rsidRDefault="00A43F47" w:rsidP="00777A20">
      <w:pPr>
        <w:spacing w:line="360" w:lineRule="auto"/>
        <w:jc w:val="both"/>
        <w:rPr>
          <w:color w:val="FF0000"/>
          <w:lang w:val="en-GB"/>
        </w:rPr>
      </w:pPr>
    </w:p>
    <w:p w14:paraId="43013327" w14:textId="1C643F1A" w:rsidR="00A43F47" w:rsidRPr="00353C2A" w:rsidRDefault="00A43F47" w:rsidP="00777A20">
      <w:pPr>
        <w:spacing w:line="360" w:lineRule="auto"/>
        <w:jc w:val="both"/>
        <w:rPr>
          <w:color w:val="FF0000"/>
          <w:lang w:val="en-GB"/>
        </w:rPr>
      </w:pPr>
      <w:r w:rsidRPr="00353C2A">
        <w:rPr>
          <w:color w:val="FF0000"/>
          <w:lang w:val="en-GB"/>
        </w:rPr>
        <w:t xml:space="preserve">As with sections 2.2 and 2.3, the NAR will: </w:t>
      </w:r>
    </w:p>
    <w:p w14:paraId="20142B13" w14:textId="03A5133D" w:rsidR="00A43F47" w:rsidRPr="00A43F47" w:rsidRDefault="003D6AA1" w:rsidP="00777A20">
      <w:pPr>
        <w:pStyle w:val="Listenabsatz"/>
        <w:numPr>
          <w:ilvl w:val="0"/>
          <w:numId w:val="32"/>
        </w:numPr>
        <w:spacing w:line="360" w:lineRule="auto"/>
        <w:ind w:left="709" w:hanging="425"/>
        <w:jc w:val="both"/>
        <w:rPr>
          <w:color w:val="FF0000"/>
          <w:lang w:val="en-GB"/>
        </w:rPr>
      </w:pPr>
      <w:r>
        <w:rPr>
          <w:color w:val="FF0000"/>
          <w:lang w:val="en-GB"/>
        </w:rPr>
        <w:t xml:space="preserve">describe </w:t>
      </w:r>
      <w:r w:rsidR="00A43F47" w:rsidRPr="00A43F47">
        <w:rPr>
          <w:color w:val="FF0000"/>
          <w:lang w:val="en-GB"/>
        </w:rPr>
        <w:t xml:space="preserve">which national authority is in charge of the </w:t>
      </w:r>
      <w:r w:rsidR="009C1EA7">
        <w:rPr>
          <w:color w:val="FF0000"/>
          <w:lang w:val="en-GB"/>
        </w:rPr>
        <w:t xml:space="preserve">enforcement </w:t>
      </w:r>
      <w:r w:rsidR="00A43F47" w:rsidRPr="00A43F47">
        <w:rPr>
          <w:color w:val="FF0000"/>
          <w:lang w:val="en-GB"/>
        </w:rPr>
        <w:t>stage and which national authority is competent to request judicial cooperation concerning enforcement of the sentence</w:t>
      </w:r>
      <w:r w:rsidR="004D611F">
        <w:rPr>
          <w:color w:val="FF0000"/>
          <w:lang w:val="en-GB"/>
        </w:rPr>
        <w:t>;</w:t>
      </w:r>
      <w:r w:rsidR="00A43F47" w:rsidRPr="00A43F47">
        <w:rPr>
          <w:color w:val="FF0000"/>
          <w:lang w:val="en-GB"/>
        </w:rPr>
        <w:t xml:space="preserve">  </w:t>
      </w:r>
    </w:p>
    <w:p w14:paraId="79EFACB1" w14:textId="77777777" w:rsidR="003D6AA1" w:rsidRPr="00A43F47" w:rsidRDefault="003D6AA1" w:rsidP="003D6AA1">
      <w:pPr>
        <w:pStyle w:val="Listenabsatz"/>
        <w:numPr>
          <w:ilvl w:val="0"/>
          <w:numId w:val="32"/>
        </w:numPr>
        <w:spacing w:line="360" w:lineRule="auto"/>
        <w:ind w:left="709" w:hanging="425"/>
        <w:jc w:val="both"/>
        <w:rPr>
          <w:color w:val="FF0000"/>
          <w:lang w:val="en-GB"/>
        </w:rPr>
      </w:pPr>
      <w:r>
        <w:rPr>
          <w:color w:val="FF0000"/>
          <w:lang w:val="en-GB"/>
        </w:rPr>
        <w:t>address applicability issues according to national law if there are such issues;</w:t>
      </w:r>
      <w:r w:rsidRPr="00A43F47">
        <w:rPr>
          <w:color w:val="FF0000"/>
          <w:lang w:val="en-GB"/>
        </w:rPr>
        <w:t xml:space="preserve"> </w:t>
      </w:r>
    </w:p>
    <w:p w14:paraId="40C52B74" w14:textId="7AC0FB3B" w:rsidR="00A43F47" w:rsidRPr="00A43F47" w:rsidRDefault="003D6AA1" w:rsidP="00777A20">
      <w:pPr>
        <w:pStyle w:val="Listenabsatz"/>
        <w:numPr>
          <w:ilvl w:val="0"/>
          <w:numId w:val="32"/>
        </w:numPr>
        <w:spacing w:line="360" w:lineRule="auto"/>
        <w:ind w:left="709" w:hanging="425"/>
        <w:jc w:val="both"/>
        <w:rPr>
          <w:color w:val="FF0000"/>
          <w:lang w:val="en-GB"/>
        </w:rPr>
      </w:pPr>
      <w:r>
        <w:rPr>
          <w:color w:val="FF0000"/>
          <w:lang w:val="en-GB"/>
        </w:rPr>
        <w:t xml:space="preserve">describe </w:t>
      </w:r>
      <w:r w:rsidR="00A43F47" w:rsidRPr="00A43F47">
        <w:rPr>
          <w:color w:val="FF0000"/>
          <w:lang w:val="en-GB"/>
        </w:rPr>
        <w:t xml:space="preserve">which considerations play a role when the competent national authority has to take a decision on requesting judicial cooperation and on which instrument(s) to employ. </w:t>
      </w:r>
    </w:p>
    <w:p w14:paraId="6720D9C7" w14:textId="77777777" w:rsidR="00A43F47" w:rsidRDefault="00A43F47" w:rsidP="00777A20">
      <w:pPr>
        <w:spacing w:line="360" w:lineRule="auto"/>
        <w:jc w:val="both"/>
        <w:rPr>
          <w:color w:val="FF0000"/>
          <w:lang w:val="en-GB"/>
        </w:rPr>
      </w:pPr>
    </w:p>
    <w:p w14:paraId="135D8676" w14:textId="52BDC54B" w:rsidR="00B50576" w:rsidRPr="00EC0D37" w:rsidRDefault="00F91D31" w:rsidP="00777A20">
      <w:pPr>
        <w:spacing w:line="360" w:lineRule="auto"/>
        <w:jc w:val="both"/>
        <w:rPr>
          <w:lang w:val="en-GB"/>
        </w:rPr>
      </w:pPr>
      <w:r>
        <w:rPr>
          <w:lang w:val="en-GB"/>
        </w:rPr>
        <w:t xml:space="preserve">In the German criminal justice system, the public prosecutor’s office </w:t>
      </w:r>
      <w:r w:rsidR="00EB136E">
        <w:rPr>
          <w:lang w:val="en-GB"/>
        </w:rPr>
        <w:t xml:space="preserve">at the district court </w:t>
      </w:r>
      <w:r>
        <w:rPr>
          <w:lang w:val="en-GB"/>
        </w:rPr>
        <w:t xml:space="preserve">is in charge of the enforcement of criminal sentences (section </w:t>
      </w:r>
      <w:r w:rsidR="00EB136E">
        <w:rPr>
          <w:lang w:val="en-GB"/>
        </w:rPr>
        <w:t xml:space="preserve">451 CCP); the public prosecution office at the Higher Regional Court or the Federal Prosecutor </w:t>
      </w:r>
      <w:r w:rsidR="00B50576">
        <w:rPr>
          <w:lang w:val="en-GB"/>
        </w:rPr>
        <w:t xml:space="preserve">General </w:t>
      </w:r>
      <w:r w:rsidR="00EB136E">
        <w:rPr>
          <w:lang w:val="en-GB"/>
        </w:rPr>
        <w:t xml:space="preserve">are competent </w:t>
      </w:r>
      <w:r w:rsidR="00B50576">
        <w:rPr>
          <w:lang w:val="en-GB"/>
        </w:rPr>
        <w:t xml:space="preserve">where they have brought the </w:t>
      </w:r>
      <w:r w:rsidR="00EB136E">
        <w:rPr>
          <w:lang w:val="en-GB"/>
        </w:rPr>
        <w:t>charges in the first instance trial (</w:t>
      </w:r>
      <w:r w:rsidR="00B50576">
        <w:rPr>
          <w:lang w:val="en-GB"/>
        </w:rPr>
        <w:t xml:space="preserve">section 4 of the Regulation on the Enforcement of Criminal Sentences, RECS – ‘Strafvollstreckungsordnung’). The competence </w:t>
      </w:r>
      <w:r w:rsidR="00B50576">
        <w:rPr>
          <w:i/>
          <w:lang w:val="en-GB"/>
        </w:rPr>
        <w:t>ratione loci</w:t>
      </w:r>
      <w:r w:rsidR="00B50576">
        <w:rPr>
          <w:lang w:val="en-GB"/>
        </w:rPr>
        <w:t xml:space="preserve"> follows the local jurisdiction of the first instance court (section 7 RECS; see also section 143(1) Courts Constitution Act, CCA – ‘Gerichtsverfassungsgesetz’).</w:t>
      </w:r>
      <w:r w:rsidR="0057316B">
        <w:rPr>
          <w:lang w:val="en-GB"/>
        </w:rPr>
        <w:t xml:space="preserve"> In particular, the public prosecutor’s office may issue an arrest warrant for the enforcement of a sentence of imprisonment </w:t>
      </w:r>
      <w:r w:rsidR="00B867EB" w:rsidRPr="0033147B">
        <w:rPr>
          <w:lang w:val="en-GB"/>
        </w:rPr>
        <w:t>if the convicted person, after being summoned to commence the sentence, has not appeared or is suspected of having absconded</w:t>
      </w:r>
      <w:r w:rsidR="00B867EB">
        <w:rPr>
          <w:lang w:val="en-GB"/>
        </w:rPr>
        <w:t xml:space="preserve"> </w:t>
      </w:r>
      <w:r w:rsidR="0057316B">
        <w:rPr>
          <w:lang w:val="en-GB"/>
        </w:rPr>
        <w:t>(section 457(2) CCP). A court authorisation is not required because the trial court has set the sentence of imprisonment.</w:t>
      </w:r>
      <w:r w:rsidR="0057316B">
        <w:rPr>
          <w:rStyle w:val="Funotenzeichen"/>
          <w:lang w:val="en-GB"/>
        </w:rPr>
        <w:footnoteReference w:id="300"/>
      </w:r>
      <w:r w:rsidR="0068349F">
        <w:rPr>
          <w:lang w:val="en-GB"/>
        </w:rPr>
        <w:t xml:space="preserve"> The competence of the public prosecution office as enforcing authority notwithstanding, certain enforcement decisions (e.g. to suspend the remainder of a sentence on probation) fall within the competence of the court</w:t>
      </w:r>
      <w:r w:rsidR="0068349F" w:rsidRPr="0068349F">
        <w:rPr>
          <w:lang w:val="en-GB"/>
        </w:rPr>
        <w:t xml:space="preserve"> in whose district the penal institution is located in which the convicted person is </w:t>
      </w:r>
      <w:r w:rsidR="0068349F">
        <w:rPr>
          <w:lang w:val="en-GB"/>
        </w:rPr>
        <w:t xml:space="preserve">detained or – in other cases – the first instance court (section 462a CCP). </w:t>
      </w:r>
      <w:r w:rsidR="00EC0D37">
        <w:rPr>
          <w:lang w:val="en-GB"/>
        </w:rPr>
        <w:t>The latter applies to t</w:t>
      </w:r>
      <w:r w:rsidR="00D31D1D">
        <w:rPr>
          <w:lang w:val="en-GB"/>
        </w:rPr>
        <w:t xml:space="preserve">he </w:t>
      </w:r>
      <w:r w:rsidR="0057316B">
        <w:rPr>
          <w:lang w:val="en-GB"/>
        </w:rPr>
        <w:t xml:space="preserve">supervision of </w:t>
      </w:r>
      <w:r w:rsidR="00D31D1D">
        <w:rPr>
          <w:lang w:val="en-GB"/>
        </w:rPr>
        <w:t xml:space="preserve">the convicted person and </w:t>
      </w:r>
      <w:r w:rsidR="0057316B">
        <w:rPr>
          <w:lang w:val="en-GB"/>
        </w:rPr>
        <w:t xml:space="preserve">the decision </w:t>
      </w:r>
      <w:r w:rsidR="00D31D1D">
        <w:rPr>
          <w:lang w:val="en-GB"/>
        </w:rPr>
        <w:t>to</w:t>
      </w:r>
      <w:r w:rsidR="00BC43FA">
        <w:rPr>
          <w:lang w:val="en-GB"/>
        </w:rPr>
        <w:t xml:space="preserve"> revoke the suspension of the</w:t>
      </w:r>
      <w:r w:rsidR="00D31D1D">
        <w:rPr>
          <w:lang w:val="en-GB"/>
        </w:rPr>
        <w:t xml:space="preserve"> enforcement of a sentence of imprisonment</w:t>
      </w:r>
      <w:r w:rsidR="00BC43FA">
        <w:rPr>
          <w:lang w:val="en-GB"/>
        </w:rPr>
        <w:t xml:space="preserve"> (sections 453b, 462a(2) CCP). </w:t>
      </w:r>
      <w:r w:rsidR="00670608">
        <w:rPr>
          <w:lang w:val="en-GB"/>
        </w:rPr>
        <w:t>In proceedings against juvenile offenders, the enforcing authority is the youth court judge (sections 82, 110 YCA).</w:t>
      </w:r>
      <w:r w:rsidR="00670608">
        <w:rPr>
          <w:rStyle w:val="Funotenzeichen"/>
          <w:lang w:val="en-GB"/>
        </w:rPr>
        <w:footnoteReference w:id="301"/>
      </w:r>
    </w:p>
    <w:p w14:paraId="1FF7443D" w14:textId="37616D0F" w:rsidR="00F91D31" w:rsidRDefault="00F91D31" w:rsidP="00777A20">
      <w:pPr>
        <w:spacing w:line="360" w:lineRule="auto"/>
        <w:jc w:val="both"/>
        <w:rPr>
          <w:lang w:val="en-GB"/>
        </w:rPr>
      </w:pPr>
    </w:p>
    <w:p w14:paraId="1554CCF9" w14:textId="04EA479C" w:rsidR="004D1FC9" w:rsidRDefault="00A20951" w:rsidP="00777A20">
      <w:pPr>
        <w:spacing w:line="360" w:lineRule="auto"/>
        <w:jc w:val="both"/>
        <w:rPr>
          <w:lang w:val="en-GB"/>
        </w:rPr>
      </w:pPr>
      <w:r>
        <w:rPr>
          <w:lang w:val="en-GB"/>
        </w:rPr>
        <w:lastRenderedPageBreak/>
        <w:t xml:space="preserve">The enforcing public prosecutor is competent to </w:t>
      </w:r>
      <w:r w:rsidR="008A43E3">
        <w:rPr>
          <w:lang w:val="en-GB"/>
        </w:rPr>
        <w:t xml:space="preserve">initiate a </w:t>
      </w:r>
      <w:r>
        <w:rPr>
          <w:lang w:val="en-GB"/>
        </w:rPr>
        <w:t xml:space="preserve">transfer </w:t>
      </w:r>
      <w:r w:rsidR="008A43E3">
        <w:rPr>
          <w:lang w:val="en-GB"/>
        </w:rPr>
        <w:t xml:space="preserve">of </w:t>
      </w:r>
      <w:r>
        <w:rPr>
          <w:lang w:val="en-GB"/>
        </w:rPr>
        <w:t xml:space="preserve">the enforcement of </w:t>
      </w:r>
      <w:r w:rsidR="008A43E3">
        <w:rPr>
          <w:lang w:val="en-GB"/>
        </w:rPr>
        <w:t xml:space="preserve">custodial </w:t>
      </w:r>
      <w:r>
        <w:rPr>
          <w:lang w:val="en-GB"/>
        </w:rPr>
        <w:t>sentences (section 85(1)1 AICCM, FD 2008/909/JHA) and the supervision of probation measures (section 90l(1) AICCM, FD 2008/947/JHA).</w:t>
      </w:r>
      <w:r>
        <w:rPr>
          <w:rStyle w:val="Funotenzeichen"/>
          <w:lang w:val="en-GB"/>
        </w:rPr>
        <w:footnoteReference w:id="302"/>
      </w:r>
      <w:r>
        <w:rPr>
          <w:lang w:val="en-GB"/>
        </w:rPr>
        <w:t xml:space="preserve"> </w:t>
      </w:r>
      <w:r w:rsidR="00EC7387">
        <w:rPr>
          <w:lang w:val="en-GB"/>
        </w:rPr>
        <w:t>So, the decision on recourse to and the choice of one of the cooperation instruments is taken by the authority that is in charge of enforcement of the relevant sentence.</w:t>
      </w:r>
      <w:r w:rsidR="00EC0D37">
        <w:rPr>
          <w:lang w:val="en-GB"/>
        </w:rPr>
        <w:t xml:space="preserve"> Nevertheless, </w:t>
      </w:r>
      <w:r w:rsidR="008A43E3">
        <w:rPr>
          <w:lang w:val="en-GB"/>
        </w:rPr>
        <w:t xml:space="preserve">the transfer of enforcement of custodial sentences without consent of the sentenced person </w:t>
      </w:r>
      <w:r w:rsidR="00FF58FD">
        <w:rPr>
          <w:lang w:val="en-GB"/>
        </w:rPr>
        <w:t xml:space="preserve">being present in Germany </w:t>
      </w:r>
      <w:r w:rsidR="008A43E3">
        <w:rPr>
          <w:lang w:val="en-GB"/>
        </w:rPr>
        <w:t>requires the authori</w:t>
      </w:r>
      <w:r w:rsidR="005A3481">
        <w:rPr>
          <w:lang w:val="en-GB"/>
        </w:rPr>
        <w:t>s</w:t>
      </w:r>
      <w:r w:rsidR="008A43E3">
        <w:rPr>
          <w:lang w:val="en-GB"/>
        </w:rPr>
        <w:t xml:space="preserve">ation of the Higher Regional Court (sections 85(2)1 No. 2, 85a, 85c, 71(4) AICCM). </w:t>
      </w:r>
      <w:r w:rsidR="004D1FC9">
        <w:rPr>
          <w:lang w:val="en-GB"/>
        </w:rPr>
        <w:t>The enforcing authority submits its application to the Higher Regional Court via the prosecutor general’s office (No. 166g(4) GICCM). Even though the public prosecutor is the competent authority, it is subject to instructions of the prosecutor general (sections 145, 146 CCA).</w:t>
      </w:r>
      <w:r w:rsidR="004D1FC9">
        <w:rPr>
          <w:rStyle w:val="Funotenzeichen"/>
          <w:lang w:val="en-GB"/>
        </w:rPr>
        <w:footnoteReference w:id="303"/>
      </w:r>
    </w:p>
    <w:p w14:paraId="2FA1B789" w14:textId="3D15C199" w:rsidR="0057316B" w:rsidRDefault="008A43E3" w:rsidP="00777A20">
      <w:pPr>
        <w:spacing w:line="360" w:lineRule="auto"/>
        <w:jc w:val="both"/>
        <w:rPr>
          <w:lang w:val="en-GB"/>
        </w:rPr>
      </w:pPr>
      <w:r>
        <w:rPr>
          <w:lang w:val="en-GB"/>
        </w:rPr>
        <w:t xml:space="preserve">Likewise, </w:t>
      </w:r>
      <w:r w:rsidR="00EC0D37">
        <w:rPr>
          <w:lang w:val="en-GB"/>
        </w:rPr>
        <w:t>the decision to issue a</w:t>
      </w:r>
      <w:r w:rsidR="00127DD2">
        <w:rPr>
          <w:lang w:val="en-GB"/>
        </w:rPr>
        <w:t>n</w:t>
      </w:r>
      <w:r w:rsidR="00EC0D37">
        <w:rPr>
          <w:lang w:val="en-GB"/>
        </w:rPr>
        <w:t xml:space="preserve"> EAW for the purpose of enforcement must be taken by the first instance court (section 457(3)3 CCP, </w:t>
      </w:r>
      <w:r w:rsidR="00EC0D37">
        <w:rPr>
          <w:i/>
          <w:lang w:val="en-GB"/>
        </w:rPr>
        <w:t xml:space="preserve">supra </w:t>
      </w:r>
      <w:r w:rsidR="00EC0D37">
        <w:rPr>
          <w:lang w:val="en-GB"/>
        </w:rPr>
        <w:t>1.3.1.).</w:t>
      </w:r>
    </w:p>
    <w:p w14:paraId="27D53824" w14:textId="35B3A1E5" w:rsidR="00041122" w:rsidRPr="00F91D31" w:rsidRDefault="00041122" w:rsidP="00777A20">
      <w:pPr>
        <w:spacing w:line="360" w:lineRule="auto"/>
        <w:jc w:val="both"/>
        <w:rPr>
          <w:lang w:val="en-GB"/>
        </w:rPr>
      </w:pPr>
      <w:r>
        <w:rPr>
          <w:lang w:val="en-GB"/>
        </w:rPr>
        <w:t xml:space="preserve">Before initiating the transfer of enforcement of custodial sentences, the enforcing authority obtains the opinion of the </w:t>
      </w:r>
      <w:r w:rsidRPr="0068349F">
        <w:rPr>
          <w:lang w:val="en-GB"/>
        </w:rPr>
        <w:t xml:space="preserve">penal institution in which the </w:t>
      </w:r>
      <w:r>
        <w:rPr>
          <w:lang w:val="en-GB"/>
        </w:rPr>
        <w:t>sentenced</w:t>
      </w:r>
      <w:r w:rsidRPr="0068349F">
        <w:rPr>
          <w:lang w:val="en-GB"/>
        </w:rPr>
        <w:t xml:space="preserve"> person is </w:t>
      </w:r>
      <w:r>
        <w:rPr>
          <w:lang w:val="en-GB"/>
        </w:rPr>
        <w:t>detained (No. 166g(2)2 GICCM). As far as the transfer of supervision of probation measures is concerned, the enforcing authority shall consult with the competent court (No. 166m(1)2 GICCM).</w:t>
      </w:r>
    </w:p>
    <w:p w14:paraId="75D877C8" w14:textId="6C20226A" w:rsidR="00F91D31" w:rsidRDefault="00F91D31" w:rsidP="00777A20">
      <w:pPr>
        <w:spacing w:line="360" w:lineRule="auto"/>
        <w:jc w:val="both"/>
        <w:rPr>
          <w:color w:val="FF0000"/>
          <w:lang w:val="en-GB"/>
        </w:rPr>
      </w:pPr>
    </w:p>
    <w:p w14:paraId="6941C41C" w14:textId="77777777" w:rsidR="00041122" w:rsidRPr="00353C2A" w:rsidRDefault="00041122" w:rsidP="00777A20">
      <w:pPr>
        <w:spacing w:line="360" w:lineRule="auto"/>
        <w:jc w:val="both"/>
        <w:rPr>
          <w:color w:val="FF0000"/>
          <w:lang w:val="en-GB"/>
        </w:rPr>
      </w:pPr>
    </w:p>
    <w:p w14:paraId="724FA2EC" w14:textId="77777777" w:rsidR="00A43F47" w:rsidRPr="00353C2A" w:rsidRDefault="00A43F47" w:rsidP="00777A20">
      <w:pPr>
        <w:spacing w:line="360" w:lineRule="auto"/>
        <w:jc w:val="both"/>
        <w:rPr>
          <w:color w:val="FF0000"/>
          <w:lang w:val="en-GB"/>
        </w:rPr>
      </w:pPr>
      <w:r w:rsidRPr="00353C2A">
        <w:rPr>
          <w:color w:val="FF0000"/>
          <w:lang w:val="en-GB"/>
        </w:rPr>
        <w:t xml:space="preserve">In doing so, the NAR will take into account the list of considerations mentioned in the introduction to section 2.3 where applicable, </w:t>
      </w:r>
      <w:r w:rsidRPr="00353C2A">
        <w:rPr>
          <w:i/>
          <w:iCs/>
          <w:color w:val="FF0000"/>
          <w:lang w:val="en-GB"/>
        </w:rPr>
        <w:t>viz</w:t>
      </w:r>
      <w:r w:rsidRPr="00353C2A">
        <w:rPr>
          <w:color w:val="FF0000"/>
          <w:lang w:val="en-GB"/>
        </w:rPr>
        <w:t>. whether</w:t>
      </w:r>
    </w:p>
    <w:p w14:paraId="742A2CB2" w14:textId="77777777" w:rsidR="00A43F47" w:rsidRPr="00353C2A" w:rsidRDefault="00A43F47" w:rsidP="00777A20">
      <w:pPr>
        <w:pStyle w:val="Listenabsatz"/>
        <w:numPr>
          <w:ilvl w:val="0"/>
          <w:numId w:val="17"/>
        </w:numPr>
        <w:spacing w:line="360" w:lineRule="auto"/>
        <w:ind w:left="709" w:hanging="425"/>
        <w:jc w:val="both"/>
        <w:rPr>
          <w:color w:val="FF0000"/>
          <w:lang w:val="en-GB"/>
        </w:rPr>
      </w:pPr>
      <w:r w:rsidRPr="00353C2A">
        <w:rPr>
          <w:color w:val="FF0000"/>
          <w:lang w:val="en-GB"/>
        </w:rPr>
        <w:t>the impact on the right to liberty, if any, is taken into account and whether there are alternatives to (pre-trial) detention (cf. the Recommendation on the procedural rights of suspects an accused persons subject to pre-trial detention and on material detention conditions);</w:t>
      </w:r>
      <w:r w:rsidRPr="00353C2A">
        <w:rPr>
          <w:rStyle w:val="Funotenzeichen"/>
          <w:rFonts w:eastAsiaTheme="majorEastAsia"/>
          <w:color w:val="FF0000"/>
          <w:lang w:val="en-GB"/>
        </w:rPr>
        <w:footnoteReference w:id="304"/>
      </w:r>
    </w:p>
    <w:p w14:paraId="11019756" w14:textId="77777777" w:rsidR="00A43F47" w:rsidRPr="00353C2A" w:rsidRDefault="00A43F47" w:rsidP="00777A20">
      <w:pPr>
        <w:pStyle w:val="Listenabsatz"/>
        <w:numPr>
          <w:ilvl w:val="0"/>
          <w:numId w:val="17"/>
        </w:numPr>
        <w:spacing w:line="360" w:lineRule="auto"/>
        <w:ind w:left="709" w:hanging="425"/>
        <w:jc w:val="both"/>
        <w:rPr>
          <w:color w:val="FF0000"/>
          <w:lang w:val="en-GB"/>
        </w:rPr>
      </w:pPr>
      <w:r w:rsidRPr="00353C2A">
        <w:rPr>
          <w:color w:val="FF0000"/>
          <w:lang w:val="en-GB"/>
        </w:rPr>
        <w:t xml:space="preserve">the national attribution of competence hinders or impairs considering such alternatives; </w:t>
      </w:r>
    </w:p>
    <w:p w14:paraId="05177CA9" w14:textId="77777777" w:rsidR="00A43F47" w:rsidRPr="00353C2A" w:rsidRDefault="00A43F47" w:rsidP="00777A20">
      <w:pPr>
        <w:pStyle w:val="Listenabsatz"/>
        <w:numPr>
          <w:ilvl w:val="0"/>
          <w:numId w:val="17"/>
        </w:numPr>
        <w:spacing w:line="360" w:lineRule="auto"/>
        <w:ind w:left="709" w:hanging="425"/>
        <w:jc w:val="both"/>
        <w:rPr>
          <w:color w:val="FF0000"/>
          <w:lang w:val="en-GB"/>
        </w:rPr>
      </w:pPr>
      <w:r w:rsidRPr="00353C2A">
        <w:rPr>
          <w:color w:val="FF0000"/>
          <w:lang w:val="en-GB"/>
        </w:rPr>
        <w:t>the impact on free movement rights, if any, is taken into account;</w:t>
      </w:r>
    </w:p>
    <w:p w14:paraId="71161EA2" w14:textId="0E194898" w:rsidR="00A43F47" w:rsidRPr="00353C2A" w:rsidRDefault="00A43F47" w:rsidP="00777A20">
      <w:pPr>
        <w:pStyle w:val="Listenabsatz"/>
        <w:numPr>
          <w:ilvl w:val="0"/>
          <w:numId w:val="17"/>
        </w:numPr>
        <w:spacing w:line="360" w:lineRule="auto"/>
        <w:ind w:left="709" w:hanging="425"/>
        <w:jc w:val="both"/>
        <w:rPr>
          <w:color w:val="FF0000"/>
          <w:lang w:val="en-GB"/>
        </w:rPr>
      </w:pPr>
      <w:r w:rsidRPr="00353C2A">
        <w:rPr>
          <w:color w:val="FF0000"/>
          <w:lang w:val="en-GB"/>
        </w:rPr>
        <w:t xml:space="preserve">the fact that a previous request for judicial cooperation was unsuccessful is taken </w:t>
      </w:r>
      <w:r w:rsidR="004D611F">
        <w:rPr>
          <w:color w:val="FF0000"/>
          <w:lang w:val="en-GB"/>
        </w:rPr>
        <w:t>into account</w:t>
      </w:r>
      <w:r w:rsidRPr="00353C2A">
        <w:rPr>
          <w:color w:val="FF0000"/>
          <w:lang w:val="en-GB"/>
        </w:rPr>
        <w:t xml:space="preserve"> when taking further decisions and, if so, in which way;</w:t>
      </w:r>
    </w:p>
    <w:p w14:paraId="78A21260" w14:textId="53F410D0" w:rsidR="00A43F47" w:rsidRPr="00353C2A" w:rsidRDefault="00A43F47" w:rsidP="00777A20">
      <w:pPr>
        <w:pStyle w:val="Listenabsatz"/>
        <w:numPr>
          <w:ilvl w:val="0"/>
          <w:numId w:val="17"/>
        </w:numPr>
        <w:spacing w:line="360" w:lineRule="auto"/>
        <w:ind w:left="709" w:hanging="425"/>
        <w:jc w:val="both"/>
        <w:rPr>
          <w:color w:val="FF0000"/>
          <w:lang w:val="en-GB"/>
        </w:rPr>
      </w:pPr>
      <w:r w:rsidRPr="00353C2A">
        <w:rPr>
          <w:color w:val="FF0000"/>
          <w:lang w:val="en-GB"/>
        </w:rPr>
        <w:lastRenderedPageBreak/>
        <w:t xml:space="preserve">the possibility that requesting judicial cooperation might prejudice future decisions on seeking judicial cooperation </w:t>
      </w:r>
      <w:r w:rsidR="004D611F">
        <w:rPr>
          <w:color w:val="FF0000"/>
          <w:lang w:val="en-GB"/>
        </w:rPr>
        <w:t xml:space="preserve">is taken into account </w:t>
      </w:r>
      <w:r w:rsidRPr="00353C2A">
        <w:rPr>
          <w:color w:val="FF0000"/>
          <w:lang w:val="en-GB"/>
        </w:rPr>
        <w:t>and, if so, in what way;</w:t>
      </w:r>
      <w:r w:rsidRPr="00353C2A">
        <w:rPr>
          <w:rStyle w:val="Funotenzeichen"/>
          <w:rFonts w:eastAsiaTheme="majorEastAsia"/>
          <w:color w:val="FF0000"/>
          <w:lang w:val="en-GB"/>
        </w:rPr>
        <w:footnoteReference w:id="305"/>
      </w:r>
    </w:p>
    <w:p w14:paraId="7CA7F1DF" w14:textId="77777777" w:rsidR="00A43F47" w:rsidRPr="00353C2A" w:rsidRDefault="00A43F47" w:rsidP="00777A20">
      <w:pPr>
        <w:pStyle w:val="Listenabsatz"/>
        <w:numPr>
          <w:ilvl w:val="0"/>
          <w:numId w:val="17"/>
        </w:numPr>
        <w:spacing w:line="360" w:lineRule="auto"/>
        <w:ind w:left="709" w:hanging="425"/>
        <w:jc w:val="both"/>
        <w:rPr>
          <w:color w:val="FF0000"/>
          <w:lang w:val="en-GB"/>
        </w:rPr>
      </w:pPr>
      <w:r w:rsidRPr="00353C2A">
        <w:rPr>
          <w:color w:val="FF0000"/>
          <w:lang w:val="en-GB"/>
        </w:rPr>
        <w:t xml:space="preserve">the issuing authority engages in a dialogue with the executing authority before taking a decision and, if so, in what way and whether it uses videoconferencing (or other audiovisual transmission)/telephone conference to that end.  </w:t>
      </w:r>
    </w:p>
    <w:p w14:paraId="51F6E1BC" w14:textId="77777777" w:rsidR="00A43F47" w:rsidRPr="00353C2A" w:rsidRDefault="00A43F47" w:rsidP="00777A20">
      <w:pPr>
        <w:spacing w:line="360" w:lineRule="auto"/>
        <w:jc w:val="both"/>
        <w:rPr>
          <w:color w:val="FF0000"/>
          <w:lang w:val="en-GB"/>
        </w:rPr>
      </w:pPr>
    </w:p>
    <w:p w14:paraId="073ECE87" w14:textId="67396753" w:rsidR="00A43F47" w:rsidRPr="00353C2A" w:rsidRDefault="00A43F47" w:rsidP="00777A20">
      <w:pPr>
        <w:spacing w:line="360" w:lineRule="auto"/>
        <w:jc w:val="both"/>
        <w:rPr>
          <w:color w:val="FF0000"/>
          <w:lang w:val="en-GB"/>
        </w:rPr>
      </w:pPr>
      <w:r w:rsidRPr="00353C2A">
        <w:rPr>
          <w:color w:val="FF0000"/>
          <w:lang w:val="en-GB"/>
        </w:rPr>
        <w:t>In addition to those considerations</w:t>
      </w:r>
      <w:r w:rsidR="003577A5">
        <w:rPr>
          <w:color w:val="FF0000"/>
          <w:lang w:val="en-GB"/>
        </w:rPr>
        <w:t>,</w:t>
      </w:r>
      <w:r w:rsidRPr="00353C2A">
        <w:rPr>
          <w:color w:val="FF0000"/>
          <w:lang w:val="en-GB"/>
        </w:rPr>
        <w:t xml:space="preserve"> the NAR will take into account whether ‘composite sentences’ (sentences composed of unconditional </w:t>
      </w:r>
      <w:r w:rsidR="007A3DAF">
        <w:rPr>
          <w:color w:val="FF0000"/>
          <w:lang w:val="en-GB"/>
        </w:rPr>
        <w:t>deprivation of liberty</w:t>
      </w:r>
      <w:r w:rsidRPr="00353C2A">
        <w:rPr>
          <w:color w:val="FF0000"/>
          <w:lang w:val="en-GB"/>
        </w:rPr>
        <w:t xml:space="preserve"> and conditional </w:t>
      </w:r>
      <w:r w:rsidR="007A3DAF">
        <w:rPr>
          <w:color w:val="FF0000"/>
          <w:lang w:val="en-GB"/>
        </w:rPr>
        <w:t>deprivation of liberty</w:t>
      </w:r>
      <w:r w:rsidRPr="00353C2A">
        <w:rPr>
          <w:color w:val="FF0000"/>
          <w:lang w:val="en-GB"/>
        </w:rPr>
        <w:t xml:space="preserve"> present problems.</w:t>
      </w:r>
      <w:r w:rsidR="007A3DAF">
        <w:rPr>
          <w:rStyle w:val="Funotenzeichen"/>
          <w:color w:val="FF0000"/>
          <w:lang w:val="en-GB"/>
        </w:rPr>
        <w:footnoteReference w:id="306"/>
      </w:r>
    </w:p>
    <w:p w14:paraId="0F85D3BC" w14:textId="77777777" w:rsidR="00A43F47" w:rsidRDefault="00A43F47" w:rsidP="00777A20">
      <w:pPr>
        <w:jc w:val="both"/>
        <w:rPr>
          <w:lang w:val="en-GB"/>
        </w:rPr>
      </w:pPr>
    </w:p>
    <w:p w14:paraId="523B8B56" w14:textId="1ECD179B" w:rsidR="008407E6" w:rsidRDefault="008407E6" w:rsidP="001C788D">
      <w:pPr>
        <w:spacing w:line="360" w:lineRule="auto"/>
        <w:jc w:val="both"/>
        <w:rPr>
          <w:lang w:val="en-GB"/>
        </w:rPr>
      </w:pPr>
      <w:r>
        <w:rPr>
          <w:lang w:val="en-GB"/>
        </w:rPr>
        <w:t xml:space="preserve">In general, most of the considerations on the criteria for the choice of cooperation instruments in the investigatory and trial stage apply accordingly to the enforcement of sentences. </w:t>
      </w:r>
      <w:r w:rsidR="001C788D">
        <w:rPr>
          <w:lang w:val="en-GB"/>
        </w:rPr>
        <w:t>However, if a sentence of imprisonment has been imposed by the trial court, it is not a matter for the enforcement authority to assess whether this sentence is proportionate or if there is a less intrusive alternative.</w:t>
      </w:r>
      <w:r w:rsidR="001C788D">
        <w:rPr>
          <w:rStyle w:val="Funotenzeichen"/>
          <w:lang w:val="en-GB"/>
        </w:rPr>
        <w:footnoteReference w:id="307"/>
      </w:r>
      <w:r w:rsidR="001C788D">
        <w:rPr>
          <w:lang w:val="en-GB"/>
        </w:rPr>
        <w:t xml:space="preserve"> This observation notwithstanding, the fundamental rights of the convicted person, and his interest in reintegration into society must be taken into account in the enforcement stage and the determination of the Member State in which the sentence shall be executed.</w:t>
      </w:r>
      <w:r w:rsidR="001C788D">
        <w:rPr>
          <w:rStyle w:val="Funotenzeichen"/>
          <w:lang w:val="en-GB"/>
        </w:rPr>
        <w:footnoteReference w:id="308"/>
      </w:r>
      <w:r w:rsidR="001C788D">
        <w:rPr>
          <w:lang w:val="en-GB"/>
        </w:rPr>
        <w:t xml:space="preserve"> </w:t>
      </w:r>
      <w:r w:rsidR="00BA6EEF">
        <w:rPr>
          <w:lang w:val="en-GB"/>
        </w:rPr>
        <w:t>In order to facilitate the prisoner’s reintegration into society, the enforcement of the sentence should be transferred in an early stage of the enforcement process.</w:t>
      </w:r>
      <w:r w:rsidR="00BA6EEF">
        <w:rPr>
          <w:rStyle w:val="Funotenzeichen"/>
          <w:lang w:val="en-GB"/>
        </w:rPr>
        <w:footnoteReference w:id="309"/>
      </w:r>
      <w:r w:rsidR="00BA6EEF">
        <w:rPr>
          <w:lang w:val="en-GB"/>
        </w:rPr>
        <w:t xml:space="preserve"> </w:t>
      </w:r>
      <w:r w:rsidR="001C788D">
        <w:rPr>
          <w:lang w:val="en-GB"/>
        </w:rPr>
        <w:t>If the convicted person suffers from a serious or protracted i</w:t>
      </w:r>
      <w:r w:rsidR="00154E9A">
        <w:rPr>
          <w:lang w:val="en-GB"/>
        </w:rPr>
        <w:t>llness, the choice of the cooperation instrument should not affect the availability of adequate medical treatment.</w:t>
      </w:r>
      <w:r w:rsidR="00154E9A">
        <w:rPr>
          <w:rStyle w:val="Funotenzeichen"/>
          <w:lang w:val="en-GB"/>
        </w:rPr>
        <w:footnoteReference w:id="310"/>
      </w:r>
      <w:r w:rsidR="00FF58FD">
        <w:rPr>
          <w:lang w:val="en-GB"/>
        </w:rPr>
        <w:t xml:space="preserve"> Some ministries of justice use the consultation mechanism under Art. 4(3) FD 2008/909/JHA in order to explore the </w:t>
      </w:r>
      <w:r w:rsidR="007113C0">
        <w:rPr>
          <w:lang w:val="en-GB"/>
        </w:rPr>
        <w:t>options of early release and the framework for supervising the sentenced person.</w:t>
      </w:r>
      <w:r w:rsidR="007113C0">
        <w:rPr>
          <w:rStyle w:val="Funotenzeichen"/>
          <w:lang w:val="en-GB"/>
        </w:rPr>
        <w:footnoteReference w:id="311"/>
      </w:r>
    </w:p>
    <w:p w14:paraId="1A400A94" w14:textId="77777777" w:rsidR="00FA6F32" w:rsidRDefault="00FA6F32" w:rsidP="001C788D">
      <w:pPr>
        <w:spacing w:line="360" w:lineRule="auto"/>
        <w:jc w:val="both"/>
        <w:rPr>
          <w:lang w:val="en-GB"/>
        </w:rPr>
      </w:pPr>
    </w:p>
    <w:p w14:paraId="1C1879BD" w14:textId="6493FC98" w:rsidR="00006663" w:rsidRDefault="00006663" w:rsidP="00777A20">
      <w:pPr>
        <w:pStyle w:val="berschrift2"/>
        <w:numPr>
          <w:ilvl w:val="1"/>
          <w:numId w:val="3"/>
        </w:numPr>
        <w:ind w:left="567" w:firstLine="0"/>
        <w:rPr>
          <w:lang w:val="en-GB"/>
        </w:rPr>
      </w:pPr>
      <w:bookmarkStart w:id="212" w:name="_Toc147328929"/>
      <w:bookmarkStart w:id="213" w:name="_Toc147328991"/>
      <w:bookmarkStart w:id="214" w:name="_Toc147329103"/>
      <w:bookmarkStart w:id="215" w:name="_Toc170228533"/>
      <w:r>
        <w:rPr>
          <w:lang w:val="en-GB"/>
        </w:rPr>
        <w:lastRenderedPageBreak/>
        <w:t>Applicability of the instruments or conventions</w:t>
      </w:r>
      <w:bookmarkEnd w:id="212"/>
      <w:bookmarkEnd w:id="213"/>
      <w:bookmarkEnd w:id="214"/>
      <w:r w:rsidR="003D6AA1">
        <w:rPr>
          <w:lang w:val="en-GB"/>
        </w:rPr>
        <w:t xml:space="preserve"> according to EU law</w:t>
      </w:r>
      <w:bookmarkEnd w:id="215"/>
    </w:p>
    <w:p w14:paraId="7203021A" w14:textId="77777777" w:rsidR="00006663" w:rsidRPr="00CF2A65" w:rsidRDefault="00006663" w:rsidP="00777A20">
      <w:pPr>
        <w:pStyle w:val="berschrift5"/>
        <w:numPr>
          <w:ilvl w:val="0"/>
          <w:numId w:val="51"/>
        </w:numPr>
        <w:ind w:left="1843" w:hanging="425"/>
        <w:rPr>
          <w:lang w:val="en-GB"/>
        </w:rPr>
      </w:pPr>
      <w:bookmarkStart w:id="216" w:name="_Toc147328992"/>
      <w:bookmarkStart w:id="217" w:name="_Toc147329104"/>
      <w:bookmarkStart w:id="218" w:name="_Toc170228534"/>
      <w:bookmarkStart w:id="219" w:name="_Hlk141798036"/>
      <w:r w:rsidRPr="00CF2A65">
        <w:rPr>
          <w:lang w:val="en-GB"/>
        </w:rPr>
        <w:t>Person concerned is present in issuing MS</w:t>
      </w:r>
      <w:bookmarkEnd w:id="216"/>
      <w:bookmarkEnd w:id="217"/>
      <w:bookmarkEnd w:id="218"/>
    </w:p>
    <w:p w14:paraId="7874935B" w14:textId="77777777" w:rsidR="00006663" w:rsidRDefault="00006663" w:rsidP="00777A20">
      <w:pPr>
        <w:pStyle w:val="Listenabsatz"/>
        <w:numPr>
          <w:ilvl w:val="0"/>
          <w:numId w:val="35"/>
        </w:numPr>
        <w:spacing w:line="360" w:lineRule="auto"/>
        <w:ind w:left="2410" w:hanging="142"/>
        <w:jc w:val="both"/>
        <w:rPr>
          <w:lang w:val="en-GB"/>
        </w:rPr>
      </w:pPr>
      <w:r w:rsidRPr="00006663">
        <w:rPr>
          <w:lang w:val="en-GB"/>
        </w:rPr>
        <w:t>FD 2008/909/JHA</w:t>
      </w:r>
    </w:p>
    <w:p w14:paraId="2B460A43" w14:textId="77777777" w:rsidR="00006663" w:rsidRDefault="00006663" w:rsidP="00777A20">
      <w:pPr>
        <w:pStyle w:val="Listenabsatz"/>
        <w:numPr>
          <w:ilvl w:val="0"/>
          <w:numId w:val="35"/>
        </w:numPr>
        <w:spacing w:line="360" w:lineRule="auto"/>
        <w:ind w:left="2410" w:hanging="142"/>
        <w:jc w:val="both"/>
        <w:rPr>
          <w:lang w:val="en-GB"/>
        </w:rPr>
      </w:pPr>
      <w:r w:rsidRPr="00006663">
        <w:rPr>
          <w:lang w:val="en-GB"/>
        </w:rPr>
        <w:t>FD 2008/947/JHA</w:t>
      </w:r>
    </w:p>
    <w:p w14:paraId="39047E16" w14:textId="77777777" w:rsidR="00006663" w:rsidRDefault="00006663" w:rsidP="00777A20">
      <w:pPr>
        <w:pStyle w:val="Listenabsatz"/>
        <w:numPr>
          <w:ilvl w:val="0"/>
          <w:numId w:val="35"/>
        </w:numPr>
        <w:spacing w:line="360" w:lineRule="auto"/>
        <w:ind w:left="2410" w:hanging="142"/>
        <w:jc w:val="both"/>
        <w:rPr>
          <w:lang w:val="en-GB"/>
        </w:rPr>
      </w:pPr>
      <w:r w:rsidRPr="00006663">
        <w:rPr>
          <w:lang w:val="en-GB"/>
        </w:rPr>
        <w:t>Convention on Transfer of Proceedings/European Convention on Mutual Assistance in Criminal Matters</w:t>
      </w:r>
    </w:p>
    <w:p w14:paraId="2340B44D" w14:textId="4EE0550E" w:rsidR="00B378E1" w:rsidRDefault="00B378E1" w:rsidP="00B378E1">
      <w:pPr>
        <w:spacing w:line="360" w:lineRule="auto"/>
        <w:jc w:val="both"/>
        <w:rPr>
          <w:lang w:val="en-GB"/>
        </w:rPr>
      </w:pPr>
      <w:r>
        <w:rPr>
          <w:lang w:val="en-GB"/>
        </w:rPr>
        <w:t>FD 2008/909/JHA applies to convicted persons present in the issuing MS (Art. 4(1) FD 2008/909/JHA; see also section 85(2) AICCM).</w:t>
      </w:r>
      <w:r w:rsidR="00DF2137">
        <w:rPr>
          <w:lang w:val="en-GB"/>
        </w:rPr>
        <w:t xml:space="preserve"> </w:t>
      </w:r>
    </w:p>
    <w:p w14:paraId="4A5CB134" w14:textId="6D78D611" w:rsidR="00B378E1" w:rsidRDefault="00786B88" w:rsidP="00B378E1">
      <w:pPr>
        <w:spacing w:line="360" w:lineRule="auto"/>
        <w:jc w:val="both"/>
        <w:rPr>
          <w:lang w:val="en-GB"/>
        </w:rPr>
      </w:pPr>
      <w:r>
        <w:rPr>
          <w:lang w:val="en-GB"/>
        </w:rPr>
        <w:t>FD 2008/947/JHA applies to convicted persons that have not left (and, thus, are still present in) the issuing MS (Art. 5(1) FD 2008/947/JHA; se</w:t>
      </w:r>
      <w:r w:rsidR="00B378E1">
        <w:rPr>
          <w:lang w:val="en-GB"/>
        </w:rPr>
        <w:t>e also section 90l(2)1 AICCM</w:t>
      </w:r>
      <w:r>
        <w:rPr>
          <w:lang w:val="en-GB"/>
        </w:rPr>
        <w:t>).</w:t>
      </w:r>
      <w:r w:rsidR="00B867EB">
        <w:rPr>
          <w:lang w:val="en-GB"/>
        </w:rPr>
        <w:t xml:space="preserve"> According to the Court of Justice, </w:t>
      </w:r>
      <w:r w:rsidR="00B867EB" w:rsidRPr="00DF2137">
        <w:rPr>
          <w:lang w:val="en-GB"/>
        </w:rPr>
        <w:t xml:space="preserve">a custodial sentence whose execution is suspended subject to the sole condition that </w:t>
      </w:r>
      <w:r w:rsidR="00B867EB">
        <w:rPr>
          <w:lang w:val="en-GB"/>
        </w:rPr>
        <w:t>the convicted person does</w:t>
      </w:r>
      <w:r w:rsidR="00B867EB" w:rsidRPr="00DF2137">
        <w:rPr>
          <w:lang w:val="en-GB"/>
        </w:rPr>
        <w:t xml:space="preserve"> not commit a new criminal offence durin</w:t>
      </w:r>
      <w:r w:rsidR="00B867EB">
        <w:rPr>
          <w:lang w:val="en-GB"/>
        </w:rPr>
        <w:t>g a probation period</w:t>
      </w:r>
      <w:r w:rsidR="007E658B">
        <w:rPr>
          <w:lang w:val="en-GB"/>
        </w:rPr>
        <w:t xml:space="preserve"> </w:t>
      </w:r>
      <w:r w:rsidR="00F93F7E">
        <w:rPr>
          <w:lang w:val="en-GB"/>
        </w:rPr>
        <w:t>falls within the scope of the FD</w:t>
      </w:r>
      <w:r w:rsidR="00B867EB">
        <w:rPr>
          <w:lang w:val="en-GB"/>
        </w:rPr>
        <w:t>.</w:t>
      </w:r>
      <w:r w:rsidR="00B867EB">
        <w:rPr>
          <w:rStyle w:val="Funotenzeichen"/>
          <w:lang w:val="en-GB"/>
        </w:rPr>
        <w:footnoteReference w:id="312"/>
      </w:r>
    </w:p>
    <w:p w14:paraId="73D9A2FD" w14:textId="3D0F6123" w:rsidR="00786B88" w:rsidRDefault="00910E90" w:rsidP="00B378E1">
      <w:pPr>
        <w:spacing w:line="360" w:lineRule="auto"/>
        <w:jc w:val="both"/>
        <w:rPr>
          <w:lang w:val="en-GB"/>
        </w:rPr>
      </w:pPr>
      <w:r>
        <w:rPr>
          <w:lang w:val="en-GB"/>
        </w:rPr>
        <w:t xml:space="preserve">Art. 21 of the European Convention on Mutual Legal Assistance does not preclude the transfer of criminal proceedings where the court has delivered a final judgment. </w:t>
      </w:r>
      <w:r w:rsidR="00EC0D37">
        <w:rPr>
          <w:lang w:val="en-GB"/>
        </w:rPr>
        <w:t xml:space="preserve">The principle </w:t>
      </w:r>
      <w:r w:rsidR="00EC0D37">
        <w:rPr>
          <w:i/>
          <w:lang w:val="en-GB"/>
        </w:rPr>
        <w:t xml:space="preserve">ne bis in idem </w:t>
      </w:r>
      <w:r w:rsidR="00EC0D37">
        <w:rPr>
          <w:lang w:val="en-GB"/>
        </w:rPr>
        <w:t xml:space="preserve">(Art. 50 CFR, Art. 54 CISA) does not bar a transfer of criminal proceedings, either. The protection by this principle is subject to the </w:t>
      </w:r>
      <w:r w:rsidR="00EC0D37" w:rsidRPr="00EC0D37">
        <w:rPr>
          <w:lang w:val="en-GB"/>
        </w:rPr>
        <w:t>condition that, upon conviction and sentencing, the penalty imposed ‘has been enforced’ or is ‘actually in the process of being enforced’</w:t>
      </w:r>
      <w:r w:rsidR="00EC0D37">
        <w:rPr>
          <w:lang w:val="en-GB"/>
        </w:rPr>
        <w:t xml:space="preserve"> (Art. 54 CISA), and the Court of Justice has held that this condition is compatible with Art. 50 CFR</w:t>
      </w:r>
      <w:r w:rsidR="0053725F">
        <w:rPr>
          <w:lang w:val="en-GB"/>
        </w:rPr>
        <w:t xml:space="preserve"> (see also recital (56) of </w:t>
      </w:r>
      <w:r w:rsidR="007B36E9">
        <w:rPr>
          <w:lang w:val="en-US"/>
        </w:rPr>
        <w:t>Regulation (EU) 2024/3011 on the transfer of proceedings in criminal matters</w:t>
      </w:r>
      <w:r w:rsidR="0053725F">
        <w:rPr>
          <w:lang w:val="en-GB"/>
        </w:rPr>
        <w:t>)</w:t>
      </w:r>
      <w:r w:rsidR="00EC0D37">
        <w:rPr>
          <w:lang w:val="en-GB"/>
        </w:rPr>
        <w:t>.</w:t>
      </w:r>
      <w:r w:rsidR="00EC0D37">
        <w:rPr>
          <w:rStyle w:val="Funotenzeichen"/>
          <w:lang w:val="en-GB"/>
        </w:rPr>
        <w:footnoteReference w:id="313"/>
      </w:r>
      <w:r w:rsidR="00403352">
        <w:rPr>
          <w:lang w:val="en-GB"/>
        </w:rPr>
        <w:t xml:space="preserve"> Bilateral treaties supplementing Art. 21 of the European Convention on Mutual Legal Assistance provide that domestic criminal proceedings (and enforcement proceedings) must not be continued after the requested state has initiated criminal proceedings.</w:t>
      </w:r>
      <w:r w:rsidR="00403352">
        <w:rPr>
          <w:rStyle w:val="Funotenzeichen"/>
          <w:lang w:val="en-GB"/>
        </w:rPr>
        <w:footnoteReference w:id="314"/>
      </w:r>
      <w:r w:rsidR="00403352">
        <w:rPr>
          <w:lang w:val="en-GB"/>
        </w:rPr>
        <w:t xml:space="preserve"> </w:t>
      </w:r>
      <w:r w:rsidR="001C6963">
        <w:rPr>
          <w:lang w:val="en-GB"/>
        </w:rPr>
        <w:t>As the scope of t</w:t>
      </w:r>
      <w:r w:rsidR="00403352">
        <w:rPr>
          <w:lang w:val="en-GB"/>
        </w:rPr>
        <w:t>hese</w:t>
      </w:r>
      <w:r w:rsidR="001C6963">
        <w:rPr>
          <w:lang w:val="en-GB"/>
        </w:rPr>
        <w:t xml:space="preserve"> provisions extend to the enforcement proceedings, they imply that a transfer of proceedings is still possible after a German court has delivered a final judgment.</w:t>
      </w:r>
      <w:r w:rsidR="0053725F">
        <w:rPr>
          <w:lang w:val="en-GB"/>
        </w:rPr>
        <w:t xml:space="preserve"> </w:t>
      </w:r>
    </w:p>
    <w:p w14:paraId="0E76F6CB" w14:textId="77777777" w:rsidR="00B378E1" w:rsidRPr="00B378E1" w:rsidRDefault="00B378E1" w:rsidP="00B378E1">
      <w:pPr>
        <w:spacing w:line="360" w:lineRule="auto"/>
        <w:jc w:val="both"/>
        <w:rPr>
          <w:lang w:val="en-GB"/>
        </w:rPr>
      </w:pPr>
    </w:p>
    <w:p w14:paraId="7C65F259" w14:textId="549F702C" w:rsidR="00006663" w:rsidRDefault="00006663" w:rsidP="00777A20">
      <w:pPr>
        <w:spacing w:line="360" w:lineRule="auto"/>
        <w:ind w:left="2268"/>
        <w:jc w:val="both"/>
        <w:rPr>
          <w:color w:val="FF0000"/>
          <w:lang w:val="en-GB"/>
        </w:rPr>
      </w:pPr>
      <w:bookmarkStart w:id="220" w:name="_Hlk147405300"/>
      <w:r w:rsidRPr="00353C2A">
        <w:rPr>
          <w:color w:val="FF0000"/>
          <w:lang w:val="en-GB"/>
        </w:rPr>
        <w:t xml:space="preserve">It is possible </w:t>
      </w:r>
      <w:r w:rsidRPr="00353C2A">
        <w:rPr>
          <w:color w:val="FF0000"/>
          <w:u w:val="single"/>
          <w:lang w:val="en-GB"/>
        </w:rPr>
        <w:t>under EU law</w:t>
      </w:r>
      <w:r w:rsidRPr="00353C2A">
        <w:rPr>
          <w:color w:val="FF0000"/>
          <w:lang w:val="en-GB"/>
        </w:rPr>
        <w:t xml:space="preserve"> to ‘divide’ composite sentences and to deal with the unconditional part under FD 2008/909/JHA and with the condition</w:t>
      </w:r>
      <w:bookmarkStart w:id="221" w:name="_Hlk143768794"/>
      <w:r w:rsidR="00C63F4A">
        <w:rPr>
          <w:color w:val="FF0000"/>
          <w:lang w:val="en-GB"/>
        </w:rPr>
        <w:t>al part under FD 2008/947/JHA?</w:t>
      </w:r>
    </w:p>
    <w:p w14:paraId="3862E4F3" w14:textId="51E52586" w:rsidR="00640E9F" w:rsidRDefault="008D7B6B" w:rsidP="00640E9F">
      <w:pPr>
        <w:spacing w:line="360" w:lineRule="auto"/>
        <w:jc w:val="both"/>
        <w:rPr>
          <w:lang w:val="en-GB"/>
        </w:rPr>
      </w:pPr>
      <w:r>
        <w:rPr>
          <w:lang w:val="en-GB"/>
        </w:rPr>
        <w:lastRenderedPageBreak/>
        <w:t>The German sanctioning system does not provide for composite sentences of imprisonment, but the court determines a final (aggregate) sentence (‘Gesamtstrafe’, sections 54, 55 CC); if the accused person is sentenced to imprisonment, the court decides whether the enforcement of the whole sentence is suspended on probation (sections 56, 58 CC).</w:t>
      </w:r>
      <w:r>
        <w:rPr>
          <w:rStyle w:val="Funotenzeichen"/>
          <w:lang w:val="en-GB"/>
        </w:rPr>
        <w:footnoteReference w:id="315"/>
      </w:r>
      <w:r>
        <w:rPr>
          <w:lang w:val="en-GB"/>
        </w:rPr>
        <w:t xml:space="preserve"> </w:t>
      </w:r>
      <w:r w:rsidR="00CA0AB0" w:rsidRPr="0033147B">
        <w:rPr>
          <w:lang w:val="en-GB"/>
        </w:rPr>
        <w:t xml:space="preserve">The suspension may not be limited to a part of the sentence (section 56(4)1 CC). </w:t>
      </w:r>
      <w:r w:rsidR="00640E9F">
        <w:rPr>
          <w:lang w:val="en-GB"/>
        </w:rPr>
        <w:t xml:space="preserve">As a consequence, the question is not relevant for outgoing requests because there is no need to split up </w:t>
      </w:r>
      <w:r>
        <w:rPr>
          <w:lang w:val="en-GB"/>
        </w:rPr>
        <w:t xml:space="preserve">the </w:t>
      </w:r>
      <w:r w:rsidR="00122E61" w:rsidRPr="00122E61">
        <w:rPr>
          <w:lang w:val="en-GB"/>
        </w:rPr>
        <w:t xml:space="preserve">unconditional </w:t>
      </w:r>
      <w:r>
        <w:rPr>
          <w:lang w:val="en-GB"/>
        </w:rPr>
        <w:t xml:space="preserve">and the conditional </w:t>
      </w:r>
      <w:r w:rsidR="00122E61" w:rsidRPr="00122E61">
        <w:rPr>
          <w:lang w:val="en-GB"/>
        </w:rPr>
        <w:t>part of a composite sentence of imprisonment</w:t>
      </w:r>
      <w:r w:rsidR="00640E9F">
        <w:rPr>
          <w:lang w:val="en-GB"/>
        </w:rPr>
        <w:t>.</w:t>
      </w:r>
    </w:p>
    <w:p w14:paraId="079E4828" w14:textId="2FBC83EE" w:rsidR="00D06E13" w:rsidRDefault="00640E9F" w:rsidP="005A6792">
      <w:pPr>
        <w:spacing w:line="360" w:lineRule="auto"/>
        <w:jc w:val="both"/>
        <w:rPr>
          <w:lang w:val="en-GB"/>
        </w:rPr>
      </w:pPr>
      <w:r>
        <w:rPr>
          <w:lang w:val="en-GB"/>
        </w:rPr>
        <w:t xml:space="preserve">As far as incoming requests are concerned, </w:t>
      </w:r>
      <w:r w:rsidR="008D7B6B">
        <w:rPr>
          <w:lang w:val="en-GB"/>
        </w:rPr>
        <w:t xml:space="preserve">the unconditional part takes the lead, and </w:t>
      </w:r>
      <w:r w:rsidR="00122E61" w:rsidRPr="00122E61">
        <w:rPr>
          <w:lang w:val="en-GB"/>
        </w:rPr>
        <w:t>requests are executed under the rules implementing FD 2008/909/JHA (sections 84 ff. AICCM)</w:t>
      </w:r>
      <w:r w:rsidR="00FC3700">
        <w:rPr>
          <w:lang w:val="en-GB"/>
        </w:rPr>
        <w:t>:</w:t>
      </w:r>
      <w:r w:rsidR="00122E61">
        <w:rPr>
          <w:lang w:val="en-GB"/>
        </w:rPr>
        <w:t xml:space="preserve"> </w:t>
      </w:r>
      <w:r w:rsidR="008D7B6B">
        <w:rPr>
          <w:lang w:val="en-GB"/>
        </w:rPr>
        <w:t xml:space="preserve">The conditional part of the sentence is adapted to a decision to suspend the enforcement of the conditional part (Art. 8(3) FD 2008/909/JHA, section 84g(5) </w:t>
      </w:r>
      <w:r w:rsidR="00FC6592">
        <w:rPr>
          <w:lang w:val="en-GB"/>
        </w:rPr>
        <w:t xml:space="preserve">No. 1 </w:t>
      </w:r>
      <w:r w:rsidR="008D7B6B">
        <w:rPr>
          <w:lang w:val="en-GB"/>
        </w:rPr>
        <w:t>AICCM</w:t>
      </w:r>
      <w:r w:rsidR="00FC6592">
        <w:rPr>
          <w:lang w:val="en-GB"/>
        </w:rPr>
        <w:t>).</w:t>
      </w:r>
      <w:r w:rsidR="00FC6592">
        <w:rPr>
          <w:rStyle w:val="Funotenzeichen"/>
          <w:lang w:val="en-GB"/>
        </w:rPr>
        <w:footnoteReference w:id="316"/>
      </w:r>
      <w:r w:rsidR="00FC6592">
        <w:rPr>
          <w:lang w:val="en-GB"/>
        </w:rPr>
        <w:t xml:space="preserve"> The leading role of the unconditional part mi</w:t>
      </w:r>
      <w:r w:rsidR="00B5034C">
        <w:rPr>
          <w:lang w:val="en-GB"/>
        </w:rPr>
        <w:t xml:space="preserve">ght be due to the fact that the focus of the enforcement process lies on this part whereas the conditional part will not be relevant before the </w:t>
      </w:r>
      <w:r w:rsidR="00FC6592">
        <w:rPr>
          <w:lang w:val="en-GB"/>
        </w:rPr>
        <w:t xml:space="preserve">convicted person is </w:t>
      </w:r>
      <w:r w:rsidR="00B5034C">
        <w:rPr>
          <w:lang w:val="en-GB"/>
        </w:rPr>
        <w:t>released; nevertheless, there is no discussion on the relationship between FD 2008/909/JHA and FD 2008/947/JHA in Germany.</w:t>
      </w:r>
      <w:r w:rsidR="002A59BF">
        <w:rPr>
          <w:lang w:val="en-GB"/>
        </w:rPr>
        <w:t xml:space="preserve"> </w:t>
      </w:r>
      <w:r w:rsidR="002A59BF" w:rsidRPr="002A59BF">
        <w:rPr>
          <w:lang w:val="en-GB"/>
        </w:rPr>
        <w:t xml:space="preserve">Irrespective of the German </w:t>
      </w:r>
      <w:r w:rsidR="002A59BF">
        <w:rPr>
          <w:lang w:val="en-GB"/>
        </w:rPr>
        <w:t xml:space="preserve">sanctioning system, </w:t>
      </w:r>
      <w:r w:rsidR="002A59BF" w:rsidRPr="002A59BF">
        <w:rPr>
          <w:lang w:val="en-GB"/>
        </w:rPr>
        <w:t>which does not p</w:t>
      </w:r>
      <w:r w:rsidR="002A59BF">
        <w:rPr>
          <w:lang w:val="en-GB"/>
        </w:rPr>
        <w:t>rovide for</w:t>
      </w:r>
      <w:r w:rsidR="002A59BF" w:rsidRPr="002A59BF">
        <w:rPr>
          <w:lang w:val="en-GB"/>
        </w:rPr>
        <w:t xml:space="preserve"> composite sentences, Art. 1</w:t>
      </w:r>
      <w:r w:rsidR="002A59BF">
        <w:rPr>
          <w:lang w:val="en-GB"/>
        </w:rPr>
        <w:t xml:space="preserve">(3) </w:t>
      </w:r>
      <w:r w:rsidR="002A59BF" w:rsidRPr="002A59BF">
        <w:rPr>
          <w:lang w:val="en-GB"/>
        </w:rPr>
        <w:t>FD 2008/947/JHA and Art. 3</w:t>
      </w:r>
      <w:r w:rsidR="002A59BF">
        <w:rPr>
          <w:lang w:val="en-GB"/>
        </w:rPr>
        <w:t>(3)</w:t>
      </w:r>
      <w:r w:rsidR="002A59BF" w:rsidRPr="002A59BF">
        <w:rPr>
          <w:lang w:val="en-GB"/>
        </w:rPr>
        <w:t xml:space="preserve"> FD 2008/909/JHA </w:t>
      </w:r>
      <w:r w:rsidR="00331DF5">
        <w:rPr>
          <w:lang w:val="en-GB"/>
        </w:rPr>
        <w:t>specify</w:t>
      </w:r>
      <w:r w:rsidR="002A59BF">
        <w:rPr>
          <w:lang w:val="en-GB"/>
        </w:rPr>
        <w:t xml:space="preserve"> that</w:t>
      </w:r>
      <w:r w:rsidR="002A59BF" w:rsidRPr="002A59BF">
        <w:rPr>
          <w:lang w:val="en-GB"/>
        </w:rPr>
        <w:t xml:space="preserve"> the framework decisions are only applicable to their respective areas</w:t>
      </w:r>
      <w:r w:rsidR="005E64C3">
        <w:rPr>
          <w:lang w:val="en-GB"/>
        </w:rPr>
        <w:t xml:space="preserve">, which </w:t>
      </w:r>
      <w:r w:rsidR="00FE498B">
        <w:rPr>
          <w:lang w:val="en-GB"/>
        </w:rPr>
        <w:t>indicate</w:t>
      </w:r>
      <w:r w:rsidR="005E64C3">
        <w:rPr>
          <w:lang w:val="en-GB"/>
        </w:rPr>
        <w:t xml:space="preserve">s that such a division of composite sentences is possible </w:t>
      </w:r>
      <w:r w:rsidR="004D7ED9">
        <w:rPr>
          <w:lang w:val="en-GB"/>
        </w:rPr>
        <w:t xml:space="preserve">according to </w:t>
      </w:r>
      <w:r w:rsidR="005E64C3">
        <w:rPr>
          <w:lang w:val="en-GB"/>
        </w:rPr>
        <w:t>EU law.</w:t>
      </w:r>
      <w:r w:rsidR="008C6178">
        <w:rPr>
          <w:lang w:val="en-GB"/>
        </w:rPr>
        <w:t xml:space="preserve"> </w:t>
      </w:r>
    </w:p>
    <w:p w14:paraId="64F7E359" w14:textId="2122148F" w:rsidR="002F4653" w:rsidRPr="00B5034C" w:rsidRDefault="002F4653" w:rsidP="00B5034C">
      <w:pPr>
        <w:spacing w:line="360" w:lineRule="auto"/>
        <w:jc w:val="both"/>
        <w:rPr>
          <w:lang w:val="en-US"/>
        </w:rPr>
      </w:pPr>
    </w:p>
    <w:p w14:paraId="6E0F30CC" w14:textId="77777777" w:rsidR="00006663" w:rsidRPr="00006663" w:rsidRDefault="00006663" w:rsidP="00777A20">
      <w:pPr>
        <w:pStyle w:val="berschrift5"/>
        <w:ind w:left="1843" w:hanging="425"/>
        <w:rPr>
          <w:lang w:val="en-GB"/>
        </w:rPr>
      </w:pPr>
      <w:bookmarkStart w:id="222" w:name="_Toc147328993"/>
      <w:bookmarkStart w:id="223" w:name="_Toc147329105"/>
      <w:bookmarkStart w:id="224" w:name="_Toc170228535"/>
      <w:bookmarkEnd w:id="220"/>
      <w:r w:rsidRPr="00006663">
        <w:rPr>
          <w:lang w:val="en-GB"/>
        </w:rPr>
        <w:t>Person concerned is present in another MS</w:t>
      </w:r>
      <w:bookmarkEnd w:id="221"/>
      <w:bookmarkEnd w:id="222"/>
      <w:bookmarkEnd w:id="223"/>
      <w:bookmarkEnd w:id="224"/>
    </w:p>
    <w:p w14:paraId="57CFF4AC" w14:textId="77777777" w:rsidR="00006663" w:rsidRDefault="00006663" w:rsidP="00777A20">
      <w:pPr>
        <w:pStyle w:val="Listenabsatz"/>
        <w:numPr>
          <w:ilvl w:val="0"/>
          <w:numId w:val="36"/>
        </w:numPr>
        <w:spacing w:line="360" w:lineRule="auto"/>
        <w:ind w:left="2410" w:hanging="142"/>
        <w:jc w:val="both"/>
        <w:rPr>
          <w:lang w:val="en-GB"/>
        </w:rPr>
      </w:pPr>
      <w:r w:rsidRPr="00006663">
        <w:rPr>
          <w:lang w:val="en-GB"/>
        </w:rPr>
        <w:t>FD 2002/584/JHA</w:t>
      </w:r>
    </w:p>
    <w:p w14:paraId="5FEA6058" w14:textId="77777777" w:rsidR="00006663" w:rsidRDefault="00006663" w:rsidP="00777A20">
      <w:pPr>
        <w:pStyle w:val="Listenabsatz"/>
        <w:numPr>
          <w:ilvl w:val="0"/>
          <w:numId w:val="36"/>
        </w:numPr>
        <w:spacing w:line="360" w:lineRule="auto"/>
        <w:ind w:left="2410" w:hanging="142"/>
        <w:jc w:val="both"/>
        <w:rPr>
          <w:lang w:val="en-GB"/>
        </w:rPr>
      </w:pPr>
      <w:r w:rsidRPr="00006663">
        <w:rPr>
          <w:lang w:val="en-GB"/>
        </w:rPr>
        <w:t>FD 2008/909/JHA</w:t>
      </w:r>
    </w:p>
    <w:p w14:paraId="3D7F0575" w14:textId="77777777" w:rsidR="00006663" w:rsidRDefault="00006663" w:rsidP="00777A20">
      <w:pPr>
        <w:pStyle w:val="Listenabsatz"/>
        <w:numPr>
          <w:ilvl w:val="0"/>
          <w:numId w:val="36"/>
        </w:numPr>
        <w:spacing w:line="360" w:lineRule="auto"/>
        <w:ind w:left="2410" w:hanging="142"/>
        <w:jc w:val="both"/>
        <w:rPr>
          <w:lang w:val="en-GB"/>
        </w:rPr>
      </w:pPr>
      <w:r w:rsidRPr="00006663">
        <w:rPr>
          <w:lang w:val="en-GB"/>
        </w:rPr>
        <w:t>FD 2008/947/JHA</w:t>
      </w:r>
    </w:p>
    <w:p w14:paraId="4D012C26" w14:textId="77777777" w:rsidR="00006663" w:rsidRDefault="00006663" w:rsidP="00777A20">
      <w:pPr>
        <w:pStyle w:val="Listenabsatz"/>
        <w:numPr>
          <w:ilvl w:val="0"/>
          <w:numId w:val="36"/>
        </w:numPr>
        <w:spacing w:line="360" w:lineRule="auto"/>
        <w:ind w:left="2410" w:hanging="142"/>
        <w:jc w:val="both"/>
        <w:rPr>
          <w:lang w:val="en-GB"/>
        </w:rPr>
      </w:pPr>
      <w:r w:rsidRPr="00006663">
        <w:rPr>
          <w:lang w:val="en-GB"/>
        </w:rPr>
        <w:t xml:space="preserve">Convention on Transfer of Proceedings/European Convention on Mutual </w:t>
      </w:r>
      <w:r>
        <w:rPr>
          <w:lang w:val="en-GB"/>
        </w:rPr>
        <w:t>Assistance in Criminal Matters</w:t>
      </w:r>
    </w:p>
    <w:p w14:paraId="4C986959" w14:textId="0B7524DC" w:rsidR="00154403" w:rsidRPr="00E40716" w:rsidRDefault="00154403" w:rsidP="00E40716">
      <w:pPr>
        <w:spacing w:line="360" w:lineRule="auto"/>
        <w:jc w:val="both"/>
        <w:rPr>
          <w:lang w:val="en-GB"/>
        </w:rPr>
      </w:pPr>
      <w:r w:rsidRPr="00A26FC9">
        <w:rPr>
          <w:lang w:val="en-GB"/>
        </w:rPr>
        <w:t xml:space="preserve">FD 2008/909/JHA applies to convicted persons present in the </w:t>
      </w:r>
      <w:r w:rsidRPr="00D922F2">
        <w:rPr>
          <w:lang w:val="en-GB"/>
        </w:rPr>
        <w:t>executing</w:t>
      </w:r>
      <w:r w:rsidRPr="001F03DC">
        <w:rPr>
          <w:lang w:val="en-GB"/>
        </w:rPr>
        <w:t xml:space="preserve"> MS (Art. 4(1) FD 2008/909/JHA; see also section 85(</w:t>
      </w:r>
      <w:r w:rsidRPr="00E40716">
        <w:rPr>
          <w:lang w:val="en-GB"/>
        </w:rPr>
        <w:t>3)2 AICCM).</w:t>
      </w:r>
    </w:p>
    <w:p w14:paraId="0E0E59BF" w14:textId="6C63EB61" w:rsidR="00154403" w:rsidRPr="00E40716" w:rsidRDefault="00154403" w:rsidP="00E40716">
      <w:pPr>
        <w:spacing w:line="360" w:lineRule="auto"/>
        <w:jc w:val="both"/>
        <w:rPr>
          <w:lang w:val="en-GB"/>
        </w:rPr>
      </w:pPr>
      <w:r w:rsidRPr="00E40716">
        <w:rPr>
          <w:lang w:val="en-GB"/>
        </w:rPr>
        <w:lastRenderedPageBreak/>
        <w:t>FD 2008/947/JHA applies to convicted persons that have returned to the executing MS (Art. 5(1) FD 2008/947/JHA; see also section 90l(3)2 AICCM).</w:t>
      </w:r>
    </w:p>
    <w:p w14:paraId="5326C5E7" w14:textId="46E3DEEA" w:rsidR="00FB4E50" w:rsidRPr="00E40716" w:rsidRDefault="00B867EB" w:rsidP="00E40716">
      <w:pPr>
        <w:spacing w:line="360" w:lineRule="auto"/>
        <w:jc w:val="both"/>
        <w:rPr>
          <w:lang w:val="en-US"/>
        </w:rPr>
      </w:pPr>
      <w:r w:rsidRPr="00E40716">
        <w:rPr>
          <w:lang w:val="en-GB"/>
        </w:rPr>
        <w:t>Art. 5 of the EU Convention on Mutual Assistance allows for serving a</w:t>
      </w:r>
      <w:r w:rsidR="00DB36F3" w:rsidRPr="00E40716">
        <w:rPr>
          <w:lang w:val="en-GB"/>
        </w:rPr>
        <w:t xml:space="preserve"> summons</w:t>
      </w:r>
      <w:r w:rsidRPr="00E40716">
        <w:rPr>
          <w:lang w:val="en-GB"/>
        </w:rPr>
        <w:t xml:space="preserve"> to the convicted person to commence the sentence (section 27 RECS – ‘Strafvollstreckungsordnung’)</w:t>
      </w:r>
      <w:r w:rsidR="00577D72" w:rsidRPr="00E40716">
        <w:rPr>
          <w:lang w:val="en-GB"/>
        </w:rPr>
        <w:t>.</w:t>
      </w:r>
    </w:p>
    <w:p w14:paraId="3562B68D" w14:textId="496424E6" w:rsidR="003F4675" w:rsidRDefault="00154403" w:rsidP="001267C1">
      <w:pPr>
        <w:spacing w:line="360" w:lineRule="auto"/>
        <w:jc w:val="both"/>
        <w:rPr>
          <w:lang w:val="en-GB"/>
        </w:rPr>
      </w:pPr>
      <w:r w:rsidRPr="001267C1">
        <w:rPr>
          <w:lang w:val="en-GB"/>
        </w:rPr>
        <w:t>Art. 21 of the European Convention on Mutual Legal Assistance does not preclude the transfer of criminal proceedings where the court has delivered a final judgment. As has been mentioned before, criminal proceedings may be transferred irrespective of whether the accused person is in the requesting or the requested state.</w:t>
      </w:r>
    </w:p>
    <w:p w14:paraId="21E86851" w14:textId="77777777" w:rsidR="003F4675" w:rsidRPr="001F03DC" w:rsidRDefault="003F4675" w:rsidP="00E40716">
      <w:pPr>
        <w:spacing w:line="360" w:lineRule="auto"/>
        <w:jc w:val="both"/>
        <w:rPr>
          <w:lang w:val="en-GB"/>
        </w:rPr>
      </w:pPr>
    </w:p>
    <w:bookmarkEnd w:id="219"/>
    <w:p w14:paraId="4107950E" w14:textId="77777777" w:rsidR="00006663" w:rsidRPr="00353C2A" w:rsidRDefault="00006663" w:rsidP="00777A20">
      <w:pPr>
        <w:spacing w:line="360" w:lineRule="auto"/>
        <w:ind w:left="2268"/>
        <w:jc w:val="both"/>
        <w:rPr>
          <w:lang w:val="en-GB"/>
        </w:rPr>
      </w:pPr>
      <w:r w:rsidRPr="00353C2A">
        <w:rPr>
          <w:color w:val="FF0000"/>
          <w:lang w:val="en-GB"/>
        </w:rPr>
        <w:t xml:space="preserve">It is possible </w:t>
      </w:r>
      <w:r w:rsidRPr="00353C2A">
        <w:rPr>
          <w:color w:val="FF0000"/>
          <w:u w:val="single"/>
          <w:lang w:val="en-GB"/>
        </w:rPr>
        <w:t xml:space="preserve">under EU law </w:t>
      </w:r>
      <w:r w:rsidRPr="00353C2A">
        <w:rPr>
          <w:color w:val="FF0000"/>
          <w:lang w:val="en-GB"/>
        </w:rPr>
        <w:t>to ‘divide’ ‘composite sentences’ and to deal with the unconditional part under FD 2008/909/JHA and with the conditional part under FD 2008/947/JHA?</w:t>
      </w:r>
    </w:p>
    <w:p w14:paraId="5AEE1F76" w14:textId="0A4EBC97" w:rsidR="00006663" w:rsidRDefault="00DB00C9" w:rsidP="00777A20">
      <w:pPr>
        <w:jc w:val="both"/>
        <w:rPr>
          <w:lang w:val="en-GB"/>
        </w:rPr>
      </w:pPr>
      <w:r>
        <w:rPr>
          <w:lang w:val="en-GB"/>
        </w:rPr>
        <w:t>The consider</w:t>
      </w:r>
      <w:r w:rsidR="00154403">
        <w:rPr>
          <w:lang w:val="en-GB"/>
        </w:rPr>
        <w:t>ations on scenario (a) apply accordingly.</w:t>
      </w:r>
    </w:p>
    <w:p w14:paraId="4CA86DD1" w14:textId="77777777" w:rsidR="00154403" w:rsidRDefault="00154403" w:rsidP="00777A20">
      <w:pPr>
        <w:jc w:val="both"/>
        <w:rPr>
          <w:lang w:val="en-GB"/>
        </w:rPr>
      </w:pPr>
    </w:p>
    <w:p w14:paraId="13067A33" w14:textId="77777777" w:rsidR="00154403" w:rsidRDefault="00154403" w:rsidP="00777A20">
      <w:pPr>
        <w:jc w:val="both"/>
        <w:rPr>
          <w:lang w:val="en-GB"/>
        </w:rPr>
      </w:pPr>
    </w:p>
    <w:p w14:paraId="7C39E8DA" w14:textId="01F4FDF9" w:rsidR="00006663" w:rsidRDefault="003D6AA1" w:rsidP="00777A20">
      <w:pPr>
        <w:pStyle w:val="berschrift2"/>
        <w:numPr>
          <w:ilvl w:val="1"/>
          <w:numId w:val="3"/>
        </w:numPr>
        <w:ind w:left="567" w:firstLine="0"/>
        <w:rPr>
          <w:lang w:val="en-GB"/>
        </w:rPr>
      </w:pPr>
      <w:bookmarkStart w:id="225" w:name="_Toc147328930"/>
      <w:bookmarkStart w:id="226" w:name="_Toc147328994"/>
      <w:bookmarkStart w:id="227" w:name="_Toc147329106"/>
      <w:bookmarkStart w:id="228" w:name="_Toc170228536"/>
      <w:r>
        <w:rPr>
          <w:lang w:val="en-GB"/>
        </w:rPr>
        <w:t>Applicability and a</w:t>
      </w:r>
      <w:r w:rsidR="00006663">
        <w:rPr>
          <w:lang w:val="en-GB"/>
        </w:rPr>
        <w:t>pplication of the instruments</w:t>
      </w:r>
      <w:bookmarkEnd w:id="225"/>
      <w:bookmarkEnd w:id="226"/>
      <w:bookmarkEnd w:id="227"/>
      <w:r>
        <w:rPr>
          <w:lang w:val="en-GB"/>
        </w:rPr>
        <w:t xml:space="preserve"> and conventions according to national law</w:t>
      </w:r>
      <w:bookmarkEnd w:id="228"/>
    </w:p>
    <w:p w14:paraId="54A6DE1E" w14:textId="77777777" w:rsidR="00006663" w:rsidRPr="00CF2A65" w:rsidRDefault="00006663" w:rsidP="00777A20">
      <w:pPr>
        <w:pStyle w:val="berschrift5"/>
        <w:numPr>
          <w:ilvl w:val="0"/>
          <w:numId w:val="52"/>
        </w:numPr>
        <w:ind w:left="1843" w:hanging="425"/>
        <w:rPr>
          <w:lang w:val="en-GB"/>
        </w:rPr>
      </w:pPr>
      <w:bookmarkStart w:id="229" w:name="_Toc147328995"/>
      <w:bookmarkStart w:id="230" w:name="_Toc147329107"/>
      <w:bookmarkStart w:id="231" w:name="_Toc170228537"/>
      <w:bookmarkStart w:id="232" w:name="_Hlk143768837"/>
      <w:r w:rsidRPr="00CF2A65">
        <w:rPr>
          <w:lang w:val="en-GB"/>
        </w:rPr>
        <w:t>Person concerned is present in issuing MS</w:t>
      </w:r>
      <w:bookmarkEnd w:id="229"/>
      <w:bookmarkEnd w:id="230"/>
      <w:bookmarkEnd w:id="231"/>
    </w:p>
    <w:bookmarkEnd w:id="232"/>
    <w:p w14:paraId="20A40688" w14:textId="6855BB83" w:rsidR="00006663" w:rsidRPr="00353C2A" w:rsidRDefault="00006663" w:rsidP="00777A20">
      <w:pPr>
        <w:spacing w:line="360" w:lineRule="auto"/>
        <w:ind w:left="1843"/>
        <w:jc w:val="both"/>
        <w:rPr>
          <w:lang w:val="en-GB"/>
        </w:rPr>
      </w:pPr>
      <w:r w:rsidRPr="00353C2A">
        <w:rPr>
          <w:lang w:val="en-GB"/>
        </w:rPr>
        <w:t>(ee) enforcement in another MS</w:t>
      </w:r>
      <w:r w:rsidR="009C1EA7">
        <w:rPr>
          <w:rStyle w:val="Funotenzeichen"/>
          <w:lang w:val="en-GB"/>
        </w:rPr>
        <w:footnoteReference w:id="317"/>
      </w:r>
    </w:p>
    <w:p w14:paraId="4F9B5CE2" w14:textId="77777777" w:rsidR="00006663" w:rsidRPr="00006663" w:rsidRDefault="00006663" w:rsidP="00777A20">
      <w:pPr>
        <w:pStyle w:val="Listenabsatz"/>
        <w:numPr>
          <w:ilvl w:val="0"/>
          <w:numId w:val="36"/>
        </w:numPr>
        <w:spacing w:line="360" w:lineRule="auto"/>
        <w:ind w:left="2410" w:hanging="142"/>
        <w:jc w:val="both"/>
        <w:rPr>
          <w:color w:val="000000" w:themeColor="text1"/>
          <w:lang w:val="en-GB"/>
        </w:rPr>
      </w:pPr>
      <w:r w:rsidRPr="00006663">
        <w:rPr>
          <w:color w:val="000000" w:themeColor="text1"/>
          <w:lang w:val="en-GB"/>
        </w:rPr>
        <w:t>FD 2008/909/JHA</w:t>
      </w:r>
    </w:p>
    <w:p w14:paraId="16471CE6" w14:textId="77777777" w:rsidR="00006663" w:rsidRDefault="00006663" w:rsidP="00777A20">
      <w:pPr>
        <w:spacing w:line="360" w:lineRule="auto"/>
        <w:ind w:left="2268"/>
        <w:jc w:val="both"/>
        <w:rPr>
          <w:lang w:val="en-GB"/>
        </w:rPr>
      </w:pPr>
      <w:bookmarkStart w:id="233" w:name="_Hlk141793041"/>
      <w:r w:rsidRPr="00353C2A">
        <w:rPr>
          <w:color w:val="FF0000"/>
          <w:lang w:val="en-GB"/>
        </w:rPr>
        <w:t>Enforcement of a custodial sentence</w:t>
      </w:r>
      <w:bookmarkEnd w:id="233"/>
      <w:r w:rsidRPr="00353C2A">
        <w:rPr>
          <w:lang w:val="en-GB"/>
        </w:rPr>
        <w:t xml:space="preserve"> </w:t>
      </w:r>
    </w:p>
    <w:p w14:paraId="47FD6FC4" w14:textId="120E4EAA" w:rsidR="00536705" w:rsidRDefault="0046023A" w:rsidP="00154403">
      <w:pPr>
        <w:spacing w:line="360" w:lineRule="auto"/>
        <w:jc w:val="both"/>
        <w:rPr>
          <w:lang w:val="en-GB"/>
        </w:rPr>
      </w:pPr>
      <w:r>
        <w:rPr>
          <w:lang w:val="en-GB"/>
        </w:rPr>
        <w:t>If the convicted person is in the issuing MS (Germany), the enforcement of a custodial sentence requires the transfer of that person. In th</w:t>
      </w:r>
      <w:r w:rsidR="00927520">
        <w:rPr>
          <w:lang w:val="en-GB"/>
        </w:rPr>
        <w:t>ese</w:t>
      </w:r>
      <w:r>
        <w:rPr>
          <w:lang w:val="en-GB"/>
        </w:rPr>
        <w:t xml:space="preserve"> case</w:t>
      </w:r>
      <w:r w:rsidR="00927520">
        <w:rPr>
          <w:lang w:val="en-GB"/>
        </w:rPr>
        <w:t>s – which are the vast majority in judicial practice</w:t>
      </w:r>
      <w:r w:rsidR="00927520">
        <w:rPr>
          <w:rStyle w:val="Funotenzeichen"/>
          <w:lang w:val="en-GB"/>
        </w:rPr>
        <w:footnoteReference w:id="318"/>
      </w:r>
      <w:r w:rsidR="00927520">
        <w:rPr>
          <w:lang w:val="en-GB"/>
        </w:rPr>
        <w:t xml:space="preserve"> -</w:t>
      </w:r>
      <w:r>
        <w:rPr>
          <w:lang w:val="en-GB"/>
        </w:rPr>
        <w:t xml:space="preserve"> the transfer of enforcement requires either the consent of the convicted person (section 85(2)1 No. 1 AICCM) or the </w:t>
      </w:r>
      <w:r w:rsidR="00536705">
        <w:rPr>
          <w:lang w:val="en-GB"/>
        </w:rPr>
        <w:t>authori</w:t>
      </w:r>
      <w:r w:rsidR="005A3481">
        <w:rPr>
          <w:lang w:val="en-GB"/>
        </w:rPr>
        <w:t>s</w:t>
      </w:r>
      <w:r w:rsidR="00536705">
        <w:rPr>
          <w:lang w:val="en-GB"/>
        </w:rPr>
        <w:t>ation by the Higher Regional Court</w:t>
      </w:r>
      <w:r>
        <w:rPr>
          <w:lang w:val="en-GB"/>
        </w:rPr>
        <w:t xml:space="preserve"> </w:t>
      </w:r>
      <w:r w:rsidR="00536705">
        <w:rPr>
          <w:lang w:val="en-GB"/>
        </w:rPr>
        <w:t xml:space="preserve">(section 85(2)1 No. 2, section 85a AICCM). </w:t>
      </w:r>
    </w:p>
    <w:p w14:paraId="22F12896" w14:textId="6F69FA50" w:rsidR="0046023A" w:rsidRDefault="00536705" w:rsidP="00154403">
      <w:pPr>
        <w:spacing w:line="360" w:lineRule="auto"/>
        <w:jc w:val="both"/>
        <w:rPr>
          <w:lang w:val="en-GB"/>
        </w:rPr>
      </w:pPr>
      <w:r>
        <w:rPr>
          <w:lang w:val="en-GB"/>
        </w:rPr>
        <w:t>In the latter case, t</w:t>
      </w:r>
      <w:r w:rsidRPr="00536705">
        <w:rPr>
          <w:lang w:val="en-GB"/>
        </w:rPr>
        <w:t xml:space="preserve">he court </w:t>
      </w:r>
      <w:r>
        <w:rPr>
          <w:lang w:val="en-GB"/>
        </w:rPr>
        <w:t>declares</w:t>
      </w:r>
      <w:r w:rsidRPr="00536705">
        <w:rPr>
          <w:lang w:val="en-GB"/>
        </w:rPr>
        <w:t xml:space="preserve">, upon application by the enforcing authority </w:t>
      </w:r>
      <w:r>
        <w:rPr>
          <w:lang w:val="en-GB"/>
        </w:rPr>
        <w:t xml:space="preserve">(section 85c AICCM), </w:t>
      </w:r>
      <w:r w:rsidRPr="00536705">
        <w:rPr>
          <w:lang w:val="en-GB"/>
        </w:rPr>
        <w:t xml:space="preserve">enforcement of the </w:t>
      </w:r>
      <w:r>
        <w:rPr>
          <w:lang w:val="en-GB"/>
        </w:rPr>
        <w:t>custodial sentence</w:t>
      </w:r>
      <w:r w:rsidRPr="00536705">
        <w:rPr>
          <w:lang w:val="en-GB"/>
        </w:rPr>
        <w:t xml:space="preserve"> in th</w:t>
      </w:r>
      <w:r>
        <w:rPr>
          <w:lang w:val="en-GB"/>
        </w:rPr>
        <w:t>e</w:t>
      </w:r>
      <w:r w:rsidRPr="00536705">
        <w:rPr>
          <w:lang w:val="en-GB"/>
        </w:rPr>
        <w:t xml:space="preserve"> other Member State to be permissible.</w:t>
      </w:r>
      <w:r>
        <w:rPr>
          <w:lang w:val="en-GB"/>
        </w:rPr>
        <w:t xml:space="preserve"> </w:t>
      </w:r>
      <w:r w:rsidRPr="00536705">
        <w:rPr>
          <w:lang w:val="en-GB"/>
        </w:rPr>
        <w:t xml:space="preserve">Local jurisdiction lies with the court </w:t>
      </w:r>
      <w:r w:rsidRPr="0068349F">
        <w:rPr>
          <w:lang w:val="en-GB"/>
        </w:rPr>
        <w:t xml:space="preserve">in whose district the penal institution is located in which the convicted person is </w:t>
      </w:r>
      <w:r>
        <w:rPr>
          <w:lang w:val="en-GB"/>
        </w:rPr>
        <w:t xml:space="preserve">detained (sections 85a(1), 71(4)2, 3 AICCM; section 462a(1) CCP). </w:t>
      </w:r>
      <w:r w:rsidR="00E70CB3" w:rsidRPr="00E70CB3">
        <w:rPr>
          <w:lang w:val="en-GB"/>
        </w:rPr>
        <w:lastRenderedPageBreak/>
        <w:t>The enforcing authority gives the sentenced person the opportunity to make a statement</w:t>
      </w:r>
      <w:r w:rsidR="00E70CB3">
        <w:rPr>
          <w:lang w:val="en-GB"/>
        </w:rPr>
        <w:t xml:space="preserve"> (section 85(1)2 AICCM)</w:t>
      </w:r>
      <w:r w:rsidR="00E70CB3" w:rsidRPr="00E70CB3">
        <w:rPr>
          <w:lang w:val="en-GB"/>
        </w:rPr>
        <w:t>.</w:t>
      </w:r>
    </w:p>
    <w:p w14:paraId="730E072A" w14:textId="6121BC53" w:rsidR="00132F8A" w:rsidRDefault="00132F8A" w:rsidP="00132F8A">
      <w:pPr>
        <w:spacing w:line="360" w:lineRule="auto"/>
        <w:jc w:val="both"/>
        <w:rPr>
          <w:lang w:val="en-GB"/>
        </w:rPr>
      </w:pPr>
      <w:r>
        <w:rPr>
          <w:lang w:val="en-GB"/>
        </w:rPr>
        <w:t>Where the consent of the convicted person is not required, the enforcement may be transferred if the convicted person is a national of the executing MS</w:t>
      </w:r>
      <w:r w:rsidRPr="00132F8A">
        <w:rPr>
          <w:lang w:val="en-GB"/>
        </w:rPr>
        <w:t xml:space="preserve"> and has his centre of vita</w:t>
      </w:r>
      <w:r>
        <w:rPr>
          <w:lang w:val="en-GB"/>
        </w:rPr>
        <w:t>l interests in that MS (section 85c</w:t>
      </w:r>
      <w:r w:rsidR="00660F05">
        <w:rPr>
          <w:lang w:val="en-GB"/>
        </w:rPr>
        <w:t xml:space="preserve"> </w:t>
      </w:r>
      <w:r>
        <w:rPr>
          <w:lang w:val="en-GB"/>
        </w:rPr>
        <w:t xml:space="preserve">No. 1 AICCM) </w:t>
      </w:r>
      <w:r w:rsidRPr="00132F8A">
        <w:rPr>
          <w:lang w:val="en-GB"/>
        </w:rPr>
        <w:t>or</w:t>
      </w:r>
      <w:r>
        <w:rPr>
          <w:lang w:val="en-GB"/>
        </w:rPr>
        <w:t xml:space="preserve"> the convicted person </w:t>
      </w:r>
      <w:r w:rsidRPr="00132F8A">
        <w:rPr>
          <w:lang w:val="en-GB"/>
        </w:rPr>
        <w:t xml:space="preserve">is obliged, based on the findings of the competent agency, to leave the Federal Republic of Germany </w:t>
      </w:r>
      <w:r>
        <w:rPr>
          <w:lang w:val="en-GB"/>
        </w:rPr>
        <w:t>(section 85c No. 2 AICCM, referring to</w:t>
      </w:r>
      <w:r w:rsidRPr="00132F8A">
        <w:rPr>
          <w:lang w:val="en-GB"/>
        </w:rPr>
        <w:t xml:space="preserve"> section 50 of the Residence Act</w:t>
      </w:r>
      <w:r>
        <w:rPr>
          <w:lang w:val="en-GB"/>
        </w:rPr>
        <w:t>, ‘</w:t>
      </w:r>
      <w:r w:rsidRPr="00132F8A">
        <w:rPr>
          <w:lang w:val="en-GB"/>
        </w:rPr>
        <w:t>Aufenthaltsgesetz</w:t>
      </w:r>
      <w:r w:rsidR="007826EB">
        <w:rPr>
          <w:lang w:val="en-GB"/>
        </w:rPr>
        <w:t>’</w:t>
      </w:r>
      <w:r w:rsidRPr="00132F8A">
        <w:rPr>
          <w:lang w:val="en-GB"/>
        </w:rPr>
        <w:t>).</w:t>
      </w:r>
      <w:r>
        <w:rPr>
          <w:lang w:val="en-GB"/>
        </w:rPr>
        <w:t xml:space="preserve"> In any case, a transfer of German nationals is not permitted without their consent (section 85c AICCM: ‘</w:t>
      </w:r>
      <w:r w:rsidRPr="00132F8A">
        <w:rPr>
          <w:lang w:val="en-GB"/>
        </w:rPr>
        <w:t>person who is not a German national or on a stateless person</w:t>
      </w:r>
      <w:r>
        <w:rPr>
          <w:lang w:val="en-GB"/>
        </w:rPr>
        <w:t>’).</w:t>
      </w:r>
    </w:p>
    <w:p w14:paraId="706B47E5" w14:textId="73672590" w:rsidR="00154E9A" w:rsidRDefault="00132F8A" w:rsidP="00154403">
      <w:pPr>
        <w:spacing w:line="360" w:lineRule="auto"/>
        <w:jc w:val="both"/>
        <w:rPr>
          <w:lang w:val="en-GB"/>
        </w:rPr>
      </w:pPr>
      <w:r>
        <w:rPr>
          <w:lang w:val="en-GB"/>
        </w:rPr>
        <w:t xml:space="preserve">According to the interviewed public prosecutors, </w:t>
      </w:r>
      <w:r w:rsidR="00A00AE1">
        <w:rPr>
          <w:lang w:val="en-GB"/>
        </w:rPr>
        <w:t xml:space="preserve">they only file </w:t>
      </w:r>
      <w:r>
        <w:rPr>
          <w:lang w:val="en-GB"/>
        </w:rPr>
        <w:t>a</w:t>
      </w:r>
      <w:r w:rsidR="00A00AE1">
        <w:rPr>
          <w:lang w:val="en-GB"/>
        </w:rPr>
        <w:t>n application for a transfer of enforcement</w:t>
      </w:r>
      <w:r>
        <w:rPr>
          <w:lang w:val="en-GB"/>
        </w:rPr>
        <w:t xml:space="preserve"> where the sentenced person </w:t>
      </w:r>
      <w:r w:rsidR="00A00AE1">
        <w:rPr>
          <w:lang w:val="en-GB"/>
        </w:rPr>
        <w:t xml:space="preserve">has </w:t>
      </w:r>
      <w:r>
        <w:rPr>
          <w:lang w:val="en-GB"/>
        </w:rPr>
        <w:t>give</w:t>
      </w:r>
      <w:r w:rsidR="00A00AE1">
        <w:rPr>
          <w:lang w:val="en-GB"/>
        </w:rPr>
        <w:t>n</w:t>
      </w:r>
      <w:r>
        <w:rPr>
          <w:lang w:val="en-GB"/>
        </w:rPr>
        <w:t xml:space="preserve"> his consent</w:t>
      </w:r>
      <w:r w:rsidR="00A00AE1">
        <w:rPr>
          <w:lang w:val="en-GB"/>
        </w:rPr>
        <w:t>; in such cases, a transfer against the will of the sentenced person is considered to be in breach with the proportionality principle.</w:t>
      </w:r>
      <w:r w:rsidR="00A00AE1">
        <w:rPr>
          <w:rStyle w:val="Funotenzeichen"/>
          <w:lang w:val="en-GB"/>
        </w:rPr>
        <w:footnoteReference w:id="319"/>
      </w:r>
      <w:r w:rsidR="00A00AE1">
        <w:rPr>
          <w:lang w:val="en-GB"/>
        </w:rPr>
        <w:t xml:space="preserve"> So, section 85(2)1 No. 2 AICCM </w:t>
      </w:r>
      <w:r w:rsidR="000C53E4">
        <w:rPr>
          <w:lang w:val="en-GB"/>
        </w:rPr>
        <w:t>does not seem to be</w:t>
      </w:r>
      <w:r w:rsidR="00A00AE1">
        <w:rPr>
          <w:lang w:val="en-GB"/>
        </w:rPr>
        <w:t xml:space="preserve"> relevant in practice. T</w:t>
      </w:r>
      <w:r>
        <w:rPr>
          <w:lang w:val="en-GB"/>
        </w:rPr>
        <w:t>h</w:t>
      </w:r>
      <w:r w:rsidR="00A00AE1">
        <w:rPr>
          <w:lang w:val="en-GB"/>
        </w:rPr>
        <w:t>e same concerns have been raised</w:t>
      </w:r>
      <w:r>
        <w:rPr>
          <w:lang w:val="en-GB"/>
        </w:rPr>
        <w:t xml:space="preserve"> where a return guarantee</w:t>
      </w:r>
      <w:r w:rsidR="00A00AE1">
        <w:rPr>
          <w:lang w:val="en-GB"/>
        </w:rPr>
        <w:t xml:space="preserve"> had</w:t>
      </w:r>
      <w:r>
        <w:rPr>
          <w:lang w:val="en-GB"/>
        </w:rPr>
        <w:t xml:space="preserve"> been given to the home country.</w:t>
      </w:r>
      <w:r w:rsidR="00154E9A">
        <w:rPr>
          <w:rStyle w:val="Funotenzeichen"/>
          <w:lang w:val="en-GB"/>
        </w:rPr>
        <w:footnoteReference w:id="320"/>
      </w:r>
      <w:r w:rsidR="009723D0">
        <w:rPr>
          <w:lang w:val="en-GB"/>
        </w:rPr>
        <w:t xml:space="preserve"> Therefore, the issuing authority often assures that the sentenced person is returned at his request.</w:t>
      </w:r>
      <w:r w:rsidR="00FA7A04">
        <w:rPr>
          <w:rStyle w:val="Funotenzeichen"/>
          <w:lang w:val="en-GB"/>
        </w:rPr>
        <w:footnoteReference w:id="321"/>
      </w:r>
    </w:p>
    <w:p w14:paraId="69B3ECCD" w14:textId="49EC8628" w:rsidR="00154403" w:rsidRDefault="000C53E4" w:rsidP="00154403">
      <w:pPr>
        <w:spacing w:line="360" w:lineRule="auto"/>
        <w:jc w:val="both"/>
        <w:rPr>
          <w:lang w:val="en-GB"/>
        </w:rPr>
      </w:pPr>
      <w:r>
        <w:rPr>
          <w:lang w:val="en-GB"/>
        </w:rPr>
        <w:t>The transfer of enforcement lies within the discretion of the enforcing authority (section 85(1) AICCM: ‘may transfer’).</w:t>
      </w:r>
      <w:r w:rsidR="00AB7FF9">
        <w:rPr>
          <w:rStyle w:val="Funotenzeichen"/>
          <w:lang w:val="en-GB"/>
        </w:rPr>
        <w:footnoteReference w:id="322"/>
      </w:r>
      <w:r>
        <w:rPr>
          <w:lang w:val="en-GB"/>
        </w:rPr>
        <w:t xml:space="preserve"> In exercising its discretion, the public prosecutor must take into consideration the interests of the sentenced person (his reintegration into society) and the public interest in </w:t>
      </w:r>
      <w:r w:rsidR="00D1085A">
        <w:rPr>
          <w:lang w:val="en-GB"/>
        </w:rPr>
        <w:t>the effective enforcement of the imposed sentence (and the</w:t>
      </w:r>
      <w:r w:rsidR="00C02DE5">
        <w:rPr>
          <w:lang w:val="en-GB"/>
        </w:rPr>
        <w:t xml:space="preserve"> conditions of en</w:t>
      </w:r>
      <w:r w:rsidR="00D1085A">
        <w:rPr>
          <w:lang w:val="en-GB"/>
        </w:rPr>
        <w:t>forcement in the executing MS such as the rules on suspension of the remainder of the custodial sentence).</w:t>
      </w:r>
      <w:r w:rsidR="00D1085A">
        <w:rPr>
          <w:rStyle w:val="Funotenzeichen"/>
          <w:lang w:val="en-GB"/>
        </w:rPr>
        <w:footnoteReference w:id="323"/>
      </w:r>
      <w:r w:rsidR="00154E9A">
        <w:rPr>
          <w:lang w:val="en-GB"/>
        </w:rPr>
        <w:t xml:space="preserve"> </w:t>
      </w:r>
      <w:r w:rsidR="00DB07CC">
        <w:rPr>
          <w:lang w:val="en-GB"/>
        </w:rPr>
        <w:t>So, if the enforcing authority has grounds to believe that the executing Member State will release the convicted person before he has served a considerable part of the sentence, it will be reluctant towards a transfer of enforcement.</w:t>
      </w:r>
      <w:r w:rsidR="00DB07CC">
        <w:rPr>
          <w:rStyle w:val="Funotenzeichen"/>
          <w:lang w:val="en-GB"/>
        </w:rPr>
        <w:footnoteReference w:id="324"/>
      </w:r>
      <w:r w:rsidR="00DB07CC">
        <w:rPr>
          <w:lang w:val="en-GB"/>
        </w:rPr>
        <w:t xml:space="preserve"> </w:t>
      </w:r>
      <w:r w:rsidR="00BA6EEF" w:rsidRPr="0033147B">
        <w:rPr>
          <w:lang w:val="en-GB"/>
        </w:rPr>
        <w:t>These problems result from the divergent laws on the enforcement of custodial sentences and can hardly overcome by mere consultations; nevertheless, these issues must be addressed in direct communications between the sentencing and the executing Member State.</w:t>
      </w:r>
      <w:r w:rsidR="00BA6EEF">
        <w:rPr>
          <w:rStyle w:val="Funotenzeichen"/>
        </w:rPr>
        <w:footnoteReference w:id="325"/>
      </w:r>
      <w:r w:rsidR="00BA6EEF" w:rsidRPr="0033147B">
        <w:rPr>
          <w:lang w:val="en-GB"/>
        </w:rPr>
        <w:t xml:space="preserve"> </w:t>
      </w:r>
      <w:r w:rsidR="00154E9A">
        <w:rPr>
          <w:lang w:val="en-GB"/>
        </w:rPr>
        <w:t xml:space="preserve">If the sentence to be served is imprisonment </w:t>
      </w:r>
      <w:r w:rsidR="00154E9A">
        <w:rPr>
          <w:lang w:val="en-GB"/>
        </w:rPr>
        <w:lastRenderedPageBreak/>
        <w:t>of less than one year, the enforcing authority does not initiate a transfer of proceedings</w:t>
      </w:r>
      <w:r w:rsidR="00A4018B">
        <w:rPr>
          <w:lang w:val="en-GB"/>
        </w:rPr>
        <w:t xml:space="preserve">; in such cases the enforcement of the remaining sentence can be suspended (section 57 </w:t>
      </w:r>
      <w:r w:rsidR="009E65F0">
        <w:rPr>
          <w:lang w:val="en-GB"/>
        </w:rPr>
        <w:t>CC</w:t>
      </w:r>
      <w:r w:rsidR="00A4018B">
        <w:rPr>
          <w:lang w:val="en-GB"/>
        </w:rPr>
        <w:t>) or the enforcing authority can dispense with enforcement if the convicted person is deported from German territory (section 456a(1) CCP).</w:t>
      </w:r>
      <w:r w:rsidR="00A4018B">
        <w:rPr>
          <w:rStyle w:val="Funotenzeichen"/>
          <w:lang w:val="en-GB"/>
        </w:rPr>
        <w:footnoteReference w:id="326"/>
      </w:r>
      <w:r w:rsidR="007113C0">
        <w:rPr>
          <w:lang w:val="en-GB"/>
        </w:rPr>
        <w:t xml:space="preserve"> A transfer of enforcement of custodial sentences is not initiated where the detention conditions in the executing MS are not in conformity with the European </w:t>
      </w:r>
      <w:r w:rsidR="007113C0" w:rsidRPr="00CB796C">
        <w:rPr>
          <w:i/>
          <w:iCs/>
          <w:lang w:val="en-GB"/>
        </w:rPr>
        <w:t>ordre public</w:t>
      </w:r>
      <w:r w:rsidR="007113C0">
        <w:rPr>
          <w:lang w:val="en-GB"/>
        </w:rPr>
        <w:t xml:space="preserve"> (Art. 4 CFR).</w:t>
      </w:r>
      <w:r w:rsidR="007113C0">
        <w:rPr>
          <w:rStyle w:val="Funotenzeichen"/>
          <w:lang w:val="en-GB"/>
        </w:rPr>
        <w:footnoteReference w:id="327"/>
      </w:r>
      <w:r w:rsidR="00F422A5">
        <w:rPr>
          <w:lang w:val="en-GB"/>
        </w:rPr>
        <w:t xml:space="preserve"> Where the custodial sentence is linked to medical (psychiatric) treatment, the transfer depends upon whether the executing MS provides for suitable facility and the corresponding legal framework.</w:t>
      </w:r>
      <w:r w:rsidR="00F422A5">
        <w:rPr>
          <w:rStyle w:val="Funotenzeichen"/>
          <w:lang w:val="en-GB"/>
        </w:rPr>
        <w:footnoteReference w:id="328"/>
      </w:r>
    </w:p>
    <w:p w14:paraId="2AB8E0F2" w14:textId="77777777" w:rsidR="00D156DB" w:rsidRPr="00353C2A" w:rsidRDefault="00D156DB" w:rsidP="00154403">
      <w:pPr>
        <w:spacing w:line="360" w:lineRule="auto"/>
        <w:jc w:val="both"/>
        <w:rPr>
          <w:lang w:val="en-GB"/>
        </w:rPr>
      </w:pPr>
    </w:p>
    <w:p w14:paraId="412C7261" w14:textId="77777777" w:rsidR="00006663" w:rsidRPr="00006663" w:rsidRDefault="00006663" w:rsidP="00777A20">
      <w:pPr>
        <w:pStyle w:val="Listenabsatz"/>
        <w:numPr>
          <w:ilvl w:val="0"/>
          <w:numId w:val="36"/>
        </w:numPr>
        <w:spacing w:line="360" w:lineRule="auto"/>
        <w:ind w:left="2410" w:hanging="142"/>
        <w:jc w:val="both"/>
        <w:rPr>
          <w:color w:val="000000" w:themeColor="text1"/>
          <w:lang w:val="en-GB"/>
        </w:rPr>
      </w:pPr>
      <w:r w:rsidRPr="00006663">
        <w:rPr>
          <w:color w:val="000000" w:themeColor="text1"/>
          <w:lang w:val="en-GB"/>
        </w:rPr>
        <w:t>FD 2008/947/JHA</w:t>
      </w:r>
    </w:p>
    <w:p w14:paraId="612CD05F" w14:textId="77777777" w:rsidR="00006663" w:rsidRDefault="00006663" w:rsidP="00777A20">
      <w:pPr>
        <w:spacing w:line="360" w:lineRule="auto"/>
        <w:ind w:left="2268"/>
        <w:jc w:val="both"/>
        <w:rPr>
          <w:color w:val="FF0000"/>
          <w:lang w:val="en-GB"/>
        </w:rPr>
      </w:pPr>
      <w:r w:rsidRPr="00353C2A">
        <w:rPr>
          <w:color w:val="FF0000"/>
          <w:lang w:val="en-GB"/>
        </w:rPr>
        <w:t>Enforcement of an alternative sanction/a probation decision</w:t>
      </w:r>
    </w:p>
    <w:p w14:paraId="4976AB25" w14:textId="77CCD1B2" w:rsidR="00120558" w:rsidRDefault="00E70CB3" w:rsidP="00E70CB3">
      <w:pPr>
        <w:spacing w:line="360" w:lineRule="auto"/>
        <w:jc w:val="both"/>
        <w:rPr>
          <w:kern w:val="2"/>
          <w:lang w:val="en-GB"/>
          <w14:ligatures w14:val="standardContextual"/>
        </w:rPr>
      </w:pPr>
      <w:r>
        <w:rPr>
          <w:kern w:val="2"/>
          <w:lang w:val="en-GB"/>
          <w14:ligatures w14:val="standardContextual"/>
        </w:rPr>
        <w:t>As has been mentioned above (</w:t>
      </w:r>
      <w:r>
        <w:rPr>
          <w:i/>
          <w:kern w:val="2"/>
          <w:lang w:val="en-GB"/>
          <w14:ligatures w14:val="standardContextual"/>
        </w:rPr>
        <w:t xml:space="preserve">supra </w:t>
      </w:r>
      <w:r>
        <w:rPr>
          <w:kern w:val="2"/>
          <w:lang w:val="en-GB"/>
          <w14:ligatures w14:val="standardContextual"/>
        </w:rPr>
        <w:t>1.1.), the scope of the implementing provisions on Germany as the issuing MS is limited to the supervision of probation measures and does not extend to conditional sentences and alternative sanctions because the latter are not foreseen in the German sentencing regime.</w:t>
      </w:r>
      <w:r>
        <w:rPr>
          <w:rStyle w:val="Funotenzeichen"/>
          <w:kern w:val="2"/>
          <w:lang w:val="en-GB"/>
          <w14:ligatures w14:val="standardContextual"/>
        </w:rPr>
        <w:footnoteReference w:id="329"/>
      </w:r>
      <w:r>
        <w:rPr>
          <w:kern w:val="2"/>
          <w:lang w:val="en-GB"/>
          <w14:ligatures w14:val="standardContextual"/>
        </w:rPr>
        <w:t xml:space="preserve"> </w:t>
      </w:r>
      <w:r w:rsidR="00577D72">
        <w:rPr>
          <w:kern w:val="2"/>
          <w:lang w:val="en-GB"/>
          <w14:ligatures w14:val="standardContextual"/>
        </w:rPr>
        <w:t xml:space="preserve">Section 90l(1)1 No. 2 AICCM suggests an interpretation that requires </w:t>
      </w:r>
      <w:r w:rsidR="00577D72" w:rsidRPr="00577D72">
        <w:rPr>
          <w:kern w:val="2"/>
          <w:lang w:val="en-GB"/>
          <w14:ligatures w14:val="standardContextual"/>
        </w:rPr>
        <w:t xml:space="preserve">obligations </w:t>
      </w:r>
      <w:r w:rsidR="00577D72">
        <w:rPr>
          <w:kern w:val="2"/>
          <w:lang w:val="en-GB"/>
          <w14:ligatures w14:val="standardContextual"/>
        </w:rPr>
        <w:t xml:space="preserve">(‘Auflagen’) </w:t>
      </w:r>
      <w:r w:rsidR="00577D72" w:rsidRPr="00577D72">
        <w:rPr>
          <w:kern w:val="2"/>
          <w:lang w:val="en-GB"/>
          <w14:ligatures w14:val="standardContextual"/>
        </w:rPr>
        <w:t xml:space="preserve">and instructions </w:t>
      </w:r>
      <w:r w:rsidR="00577D72">
        <w:rPr>
          <w:kern w:val="2"/>
          <w:lang w:val="en-GB"/>
          <w14:ligatures w14:val="standardContextual"/>
        </w:rPr>
        <w:t xml:space="preserve">(‘Weisungen’) </w:t>
      </w:r>
      <w:r w:rsidR="00577D72" w:rsidRPr="00577D72">
        <w:rPr>
          <w:kern w:val="2"/>
          <w:lang w:val="en-GB"/>
          <w14:ligatures w14:val="standardContextual"/>
        </w:rPr>
        <w:t>imposed on the sentenced person</w:t>
      </w:r>
      <w:r w:rsidR="00577D72">
        <w:rPr>
          <w:kern w:val="2"/>
          <w:lang w:val="en-GB"/>
          <w14:ligatures w14:val="standardContextual"/>
        </w:rPr>
        <w:t>, but according to the Court of Justice</w:t>
      </w:r>
      <w:r w:rsidR="00CE5CB4">
        <w:rPr>
          <w:rStyle w:val="Funotenzeichen"/>
          <w:lang w:val="en-GB"/>
        </w:rPr>
        <w:footnoteReference w:id="330"/>
      </w:r>
      <w:r w:rsidR="00CE5CB4">
        <w:rPr>
          <w:kern w:val="2"/>
          <w:lang w:val="en-GB"/>
          <w14:ligatures w14:val="standardContextual"/>
        </w:rPr>
        <w:t>, this provision applies to</w:t>
      </w:r>
      <w:r w:rsidR="00577D72">
        <w:rPr>
          <w:kern w:val="2"/>
          <w:lang w:val="en-GB"/>
          <w14:ligatures w14:val="standardContextual"/>
        </w:rPr>
        <w:t xml:space="preserve"> the supervision of the legal obligation not to commit </w:t>
      </w:r>
      <w:r w:rsidR="00577D72" w:rsidRPr="00577D72">
        <w:rPr>
          <w:kern w:val="2"/>
          <w:lang w:val="en-GB"/>
          <w14:ligatures w14:val="standardContextual"/>
        </w:rPr>
        <w:t>a new criminal offence during a probation period</w:t>
      </w:r>
      <w:r w:rsidR="00CE5CB4">
        <w:rPr>
          <w:kern w:val="2"/>
          <w:lang w:val="en-GB"/>
          <w14:ligatures w14:val="standardContextual"/>
        </w:rPr>
        <w:t xml:space="preserve"> (section 56f(1) No. 1 CC), too.</w:t>
      </w:r>
      <w:r w:rsidR="00CE5CB4">
        <w:rPr>
          <w:rStyle w:val="Funotenzeichen"/>
          <w:kern w:val="2"/>
          <w:lang w:val="en-GB"/>
          <w14:ligatures w14:val="standardContextual"/>
        </w:rPr>
        <w:footnoteReference w:id="331"/>
      </w:r>
    </w:p>
    <w:p w14:paraId="0A996BB9" w14:textId="68909789" w:rsidR="00E70CB3" w:rsidRDefault="00E70CB3" w:rsidP="00E70CB3">
      <w:pPr>
        <w:spacing w:line="360" w:lineRule="auto"/>
        <w:jc w:val="both"/>
        <w:rPr>
          <w:kern w:val="2"/>
          <w:lang w:val="en-GB"/>
          <w14:ligatures w14:val="standardContextual"/>
        </w:rPr>
      </w:pPr>
      <w:r>
        <w:rPr>
          <w:kern w:val="2"/>
          <w:lang w:val="en-GB"/>
          <w14:ligatures w14:val="standardContextual"/>
        </w:rPr>
        <w:t xml:space="preserve">Accordingly, the public prosecutor, acting as </w:t>
      </w:r>
      <w:r w:rsidRPr="00E70CB3">
        <w:rPr>
          <w:kern w:val="2"/>
          <w:lang w:val="en-GB"/>
          <w14:ligatures w14:val="standardContextual"/>
        </w:rPr>
        <w:t>enforcing authority</w:t>
      </w:r>
      <w:r>
        <w:rPr>
          <w:kern w:val="2"/>
          <w:lang w:val="en-GB"/>
          <w14:ligatures w14:val="standardContextual"/>
        </w:rPr>
        <w:t xml:space="preserve">, </w:t>
      </w:r>
      <w:r w:rsidRPr="00E70CB3">
        <w:rPr>
          <w:kern w:val="2"/>
          <w:lang w:val="en-GB"/>
          <w14:ligatures w14:val="standardContextual"/>
        </w:rPr>
        <w:t xml:space="preserve">may transfer the enforcement of a sanction involving deprivation of liberty whose enforcement or further enforcement was suspended on probation </w:t>
      </w:r>
      <w:r>
        <w:rPr>
          <w:kern w:val="2"/>
          <w:lang w:val="en-GB"/>
          <w14:ligatures w14:val="standardContextual"/>
        </w:rPr>
        <w:t xml:space="preserve">(section 90l(1)1 No. 1 AICCM) </w:t>
      </w:r>
      <w:r w:rsidRPr="00E70CB3">
        <w:rPr>
          <w:kern w:val="2"/>
          <w:lang w:val="en-GB"/>
          <w14:ligatures w14:val="standardContextual"/>
        </w:rPr>
        <w:t>and</w:t>
      </w:r>
      <w:r>
        <w:rPr>
          <w:kern w:val="2"/>
          <w:lang w:val="en-GB"/>
          <w14:ligatures w14:val="standardContextual"/>
        </w:rPr>
        <w:t xml:space="preserve"> </w:t>
      </w:r>
      <w:r w:rsidRPr="00E70CB3">
        <w:rPr>
          <w:kern w:val="2"/>
          <w:lang w:val="en-GB"/>
          <w14:ligatures w14:val="standardContextual"/>
        </w:rPr>
        <w:t xml:space="preserve"> the supervision of obligations and instructions imposed on the sentenced person for the full duration or a part of the probation period</w:t>
      </w:r>
      <w:r>
        <w:rPr>
          <w:kern w:val="2"/>
          <w:lang w:val="en-GB"/>
          <w14:ligatures w14:val="standardContextual"/>
        </w:rPr>
        <w:t xml:space="preserve"> (section 90l(1)1 No</w:t>
      </w:r>
      <w:r w:rsidRPr="00E70CB3">
        <w:rPr>
          <w:kern w:val="2"/>
          <w:lang w:val="en-GB"/>
          <w14:ligatures w14:val="standardContextual"/>
        </w:rPr>
        <w:t>.</w:t>
      </w:r>
      <w:r>
        <w:rPr>
          <w:kern w:val="2"/>
          <w:lang w:val="en-GB"/>
          <w14:ligatures w14:val="standardContextual"/>
        </w:rPr>
        <w:t xml:space="preserve"> 2 AICCM) to another MS. According to section 90l(1)2 AICCM, e</w:t>
      </w:r>
      <w:r w:rsidRPr="00E70CB3">
        <w:rPr>
          <w:kern w:val="2"/>
          <w:lang w:val="en-GB"/>
          <w14:ligatures w14:val="standardContextual"/>
        </w:rPr>
        <w:t xml:space="preserve">nforcement </w:t>
      </w:r>
      <w:r>
        <w:rPr>
          <w:kern w:val="2"/>
          <w:lang w:val="en-GB"/>
          <w14:ligatures w14:val="standardContextual"/>
        </w:rPr>
        <w:t>(No. 1) m</w:t>
      </w:r>
      <w:r w:rsidRPr="00E70CB3">
        <w:rPr>
          <w:kern w:val="2"/>
          <w:lang w:val="en-GB"/>
          <w14:ligatures w14:val="standardContextual"/>
        </w:rPr>
        <w:t xml:space="preserve">ay only be transferred in conjunction with supervision </w:t>
      </w:r>
      <w:r>
        <w:rPr>
          <w:kern w:val="2"/>
          <w:lang w:val="en-GB"/>
          <w14:ligatures w14:val="standardContextual"/>
        </w:rPr>
        <w:t>(No. 2).</w:t>
      </w:r>
      <w:r w:rsidR="008426B2">
        <w:rPr>
          <w:kern w:val="2"/>
          <w:lang w:val="en-GB"/>
          <w14:ligatures w14:val="standardContextual"/>
        </w:rPr>
        <w:t xml:space="preserve"> </w:t>
      </w:r>
      <w:r w:rsidR="00451AE5">
        <w:rPr>
          <w:kern w:val="2"/>
          <w:lang w:val="en-GB"/>
          <w14:ligatures w14:val="standardContextual"/>
        </w:rPr>
        <w:t xml:space="preserve">The term ‘transfer’ is to be understood as a corresponding </w:t>
      </w:r>
      <w:r w:rsidR="008426B2">
        <w:rPr>
          <w:kern w:val="2"/>
          <w:lang w:val="en-GB"/>
          <w14:ligatures w14:val="standardContextual"/>
        </w:rPr>
        <w:t xml:space="preserve">German request because it is for the requested </w:t>
      </w:r>
      <w:r w:rsidR="008426B2">
        <w:rPr>
          <w:kern w:val="2"/>
          <w:lang w:val="en-GB"/>
          <w14:ligatures w14:val="standardContextual"/>
        </w:rPr>
        <w:lastRenderedPageBreak/>
        <w:t xml:space="preserve">(executing) MS to decide whether to take over supervision of probation measures only or </w:t>
      </w:r>
      <w:r w:rsidR="00451AE5">
        <w:rPr>
          <w:kern w:val="2"/>
          <w:lang w:val="en-GB"/>
          <w14:ligatures w14:val="standardContextual"/>
        </w:rPr>
        <w:t xml:space="preserve">to </w:t>
      </w:r>
      <w:r w:rsidR="008426B2">
        <w:rPr>
          <w:kern w:val="2"/>
          <w:lang w:val="en-GB"/>
          <w14:ligatures w14:val="standardContextual"/>
        </w:rPr>
        <w:t>assume responsibility for subsequent decisions, e.g. on the revocation of the suspension of enforcement</w:t>
      </w:r>
      <w:r w:rsidR="00D1085A">
        <w:rPr>
          <w:kern w:val="2"/>
          <w:lang w:val="en-GB"/>
          <w14:ligatures w14:val="standardContextual"/>
        </w:rPr>
        <w:t>,</w:t>
      </w:r>
      <w:r w:rsidR="008426B2">
        <w:rPr>
          <w:kern w:val="2"/>
          <w:lang w:val="en-GB"/>
          <w14:ligatures w14:val="standardContextual"/>
        </w:rPr>
        <w:t xml:space="preserve"> </w:t>
      </w:r>
      <w:r w:rsidR="00451AE5">
        <w:rPr>
          <w:kern w:val="2"/>
          <w:lang w:val="en-GB"/>
          <w14:ligatures w14:val="standardContextual"/>
        </w:rPr>
        <w:t xml:space="preserve">as well </w:t>
      </w:r>
      <w:r w:rsidR="008426B2">
        <w:rPr>
          <w:kern w:val="2"/>
          <w:lang w:val="en-GB"/>
          <w14:ligatures w14:val="standardContextual"/>
        </w:rPr>
        <w:t>(Art. 11(4), Art. 14(3) FD 2008/947/JHA).</w:t>
      </w:r>
      <w:r w:rsidR="008426B2">
        <w:rPr>
          <w:rStyle w:val="Funotenzeichen"/>
          <w:kern w:val="2"/>
          <w:lang w:val="en-GB"/>
          <w14:ligatures w14:val="standardContextual"/>
        </w:rPr>
        <w:footnoteReference w:id="332"/>
      </w:r>
    </w:p>
    <w:p w14:paraId="6EF4DFE4" w14:textId="4CE12AEE" w:rsidR="00D1085A" w:rsidRDefault="00D1085A" w:rsidP="00E70CB3">
      <w:pPr>
        <w:spacing w:line="360" w:lineRule="auto"/>
        <w:jc w:val="both"/>
        <w:rPr>
          <w:kern w:val="2"/>
          <w:lang w:val="en-GB"/>
          <w14:ligatures w14:val="standardContextual"/>
        </w:rPr>
      </w:pPr>
      <w:r>
        <w:rPr>
          <w:kern w:val="2"/>
          <w:lang w:val="en-GB"/>
          <w14:ligatures w14:val="standardContextual"/>
        </w:rPr>
        <w:t xml:space="preserve">If the convicted person is in the issuing MS (Germany), the transfer of supervision requires consent of that person (section 90l(2)1 AICCM). This requirement originates from Art. 5(1) FD </w:t>
      </w:r>
      <w:r w:rsidR="003A427A">
        <w:rPr>
          <w:kern w:val="2"/>
          <w:lang w:val="en-GB"/>
          <w14:ligatures w14:val="standardContextual"/>
        </w:rPr>
        <w:t xml:space="preserve">2008/947/JHA </w:t>
      </w:r>
      <w:r>
        <w:rPr>
          <w:kern w:val="2"/>
          <w:lang w:val="en-GB"/>
          <w14:ligatures w14:val="standardContextual"/>
        </w:rPr>
        <w:t xml:space="preserve">that </w:t>
      </w:r>
      <w:r w:rsidR="00C02DE5">
        <w:rPr>
          <w:kern w:val="2"/>
          <w:lang w:val="en-GB"/>
          <w14:ligatures w14:val="standardContextual"/>
        </w:rPr>
        <w:t>limits the transfer of supervision to cases where the convicted person has returned or wants to return to the MS where he is lawfully and ordinarily residing; according to the German government, consent of the sentenced person provides for legal certainty and facilitates transfer proceedings because a court authorisation is not necessary.</w:t>
      </w:r>
      <w:r w:rsidR="00C02DE5">
        <w:rPr>
          <w:rStyle w:val="Funotenzeichen"/>
          <w:kern w:val="2"/>
          <w:lang w:val="en-GB"/>
          <w14:ligatures w14:val="standardContextual"/>
        </w:rPr>
        <w:footnoteReference w:id="333"/>
      </w:r>
    </w:p>
    <w:p w14:paraId="5C6239FC" w14:textId="15FBA9E1" w:rsidR="00C02DE5" w:rsidRPr="0033147B" w:rsidRDefault="00C02DE5" w:rsidP="00C02DE5">
      <w:pPr>
        <w:spacing w:line="360" w:lineRule="auto"/>
        <w:jc w:val="both"/>
        <w:rPr>
          <w:lang w:val="en-GB"/>
        </w:rPr>
      </w:pPr>
      <w:r>
        <w:rPr>
          <w:lang w:val="en-GB"/>
        </w:rPr>
        <w:t>The transfer of supervision lies within the discretion of the enforcing authority (section 90l(1) AICCM: ‘may transfer’). In exercising its discretion, the public prosecutor must take into consideration the interests of the sentenced person (his reintegration into society</w:t>
      </w:r>
      <w:r w:rsidR="00AB7FF9">
        <w:rPr>
          <w:rStyle w:val="Funotenzeichen"/>
          <w:lang w:val="en-GB"/>
        </w:rPr>
        <w:footnoteReference w:id="334"/>
      </w:r>
      <w:r>
        <w:rPr>
          <w:lang w:val="en-GB"/>
        </w:rPr>
        <w:t>) and the public interest in the effective enforcement of the imposed sentence (such as the enforcement conditions and practice in the executing MS).</w:t>
      </w:r>
      <w:r>
        <w:rPr>
          <w:rStyle w:val="Funotenzeichen"/>
          <w:lang w:val="en-GB"/>
        </w:rPr>
        <w:footnoteReference w:id="335"/>
      </w:r>
      <w:r w:rsidR="00BA1A01">
        <w:rPr>
          <w:lang w:val="en-GB"/>
        </w:rPr>
        <w:t xml:space="preserve"> </w:t>
      </w:r>
      <w:r w:rsidR="005719EA">
        <w:rPr>
          <w:lang w:val="en-GB"/>
        </w:rPr>
        <w:t>The transfer of supervision can be an opti</w:t>
      </w:r>
      <w:r w:rsidR="007C13B4">
        <w:rPr>
          <w:lang w:val="en-GB"/>
        </w:rPr>
        <w:t>on where the convicted person has not sufficient command of the German language to undergo a therapy (section 56c(2) No. 6 CC).</w:t>
      </w:r>
      <w:r w:rsidR="007C13B4">
        <w:rPr>
          <w:rStyle w:val="Funotenzeichen"/>
          <w:lang w:val="en-GB"/>
        </w:rPr>
        <w:footnoteReference w:id="336"/>
      </w:r>
      <w:r w:rsidR="005719EA">
        <w:rPr>
          <w:lang w:val="en-GB"/>
        </w:rPr>
        <w:t xml:space="preserve"> </w:t>
      </w:r>
      <w:r w:rsidR="00BA1A01">
        <w:rPr>
          <w:lang w:val="en-GB"/>
        </w:rPr>
        <w:t xml:space="preserve">Before taking its decision, </w:t>
      </w:r>
      <w:r w:rsidR="00BA1A01" w:rsidRPr="0033147B">
        <w:rPr>
          <w:lang w:val="en-GB"/>
        </w:rPr>
        <w:t>the enforcing authority gives the sentenced person the opportunity to make a statement (section 90l(1)3 AICCM).</w:t>
      </w:r>
    </w:p>
    <w:p w14:paraId="28028423" w14:textId="730932AF" w:rsidR="00A4018B" w:rsidRPr="0033147B" w:rsidRDefault="00FA7A04" w:rsidP="00C02DE5">
      <w:pPr>
        <w:spacing w:line="360" w:lineRule="auto"/>
        <w:jc w:val="both"/>
        <w:rPr>
          <w:lang w:val="en-GB"/>
        </w:rPr>
      </w:pPr>
      <w:r w:rsidRPr="0033147B">
        <w:rPr>
          <w:lang w:val="en-GB"/>
        </w:rPr>
        <w:t>This cooperation instrument is rarely used by German enforcing authorities.</w:t>
      </w:r>
      <w:r>
        <w:rPr>
          <w:rStyle w:val="Funotenzeichen"/>
        </w:rPr>
        <w:footnoteReference w:id="337"/>
      </w:r>
      <w:r w:rsidRPr="0033147B">
        <w:rPr>
          <w:lang w:val="en-GB"/>
        </w:rPr>
        <w:t xml:space="preserve"> </w:t>
      </w:r>
      <w:r w:rsidR="00DB07CC" w:rsidRPr="0033147B">
        <w:rPr>
          <w:lang w:val="en-GB"/>
        </w:rPr>
        <w:t>In the interviews with public prosecutors, no cases were reported</w:t>
      </w:r>
      <w:r w:rsidR="00F13595" w:rsidRPr="0033147B">
        <w:rPr>
          <w:lang w:val="en-GB"/>
        </w:rPr>
        <w:t xml:space="preserve">. According to a public prosecutor, </w:t>
      </w:r>
      <w:r w:rsidR="00FF3E51" w:rsidRPr="0033147B">
        <w:rPr>
          <w:lang w:val="en-GB"/>
        </w:rPr>
        <w:t>conditions</w:t>
      </w:r>
      <w:r w:rsidR="00F13595" w:rsidRPr="0033147B">
        <w:rPr>
          <w:lang w:val="en-GB"/>
        </w:rPr>
        <w:t xml:space="preserve"> or directions are not </w:t>
      </w:r>
      <w:r w:rsidR="00FF3E51" w:rsidRPr="0033147B">
        <w:rPr>
          <w:lang w:val="en-GB"/>
        </w:rPr>
        <w:t>imposed</w:t>
      </w:r>
      <w:r w:rsidR="00F13595" w:rsidRPr="0033147B">
        <w:rPr>
          <w:lang w:val="en-GB"/>
        </w:rPr>
        <w:t xml:space="preserve"> </w:t>
      </w:r>
      <w:r w:rsidR="00FF3E51" w:rsidRPr="0033147B">
        <w:rPr>
          <w:lang w:val="en-GB"/>
        </w:rPr>
        <w:t>where</w:t>
      </w:r>
      <w:r w:rsidR="00F13595" w:rsidRPr="0033147B">
        <w:rPr>
          <w:lang w:val="en-GB"/>
        </w:rPr>
        <w:t xml:space="preserve"> the enforcement of the remaining sentence is suspended</w:t>
      </w:r>
      <w:r w:rsidR="00FF3E51" w:rsidRPr="0033147B">
        <w:rPr>
          <w:lang w:val="en-GB"/>
        </w:rPr>
        <w:t xml:space="preserve"> (</w:t>
      </w:r>
      <w:r w:rsidR="00F13595" w:rsidRPr="0033147B">
        <w:rPr>
          <w:lang w:val="en-GB"/>
        </w:rPr>
        <w:t>section 57 CC)</w:t>
      </w:r>
      <w:r w:rsidR="00FF3E51" w:rsidRPr="0033147B">
        <w:rPr>
          <w:lang w:val="en-GB"/>
        </w:rPr>
        <w:t xml:space="preserve"> and the convicted person leaves the country; in case of sexual offences and child abuse in particular, directions might be necessary (e.g. supervision by a probation officer and/or psych</w:t>
      </w:r>
      <w:r w:rsidR="00226090">
        <w:rPr>
          <w:lang w:val="en-US"/>
        </w:rPr>
        <w:t>ia</w:t>
      </w:r>
      <w:r w:rsidR="00FF3E51" w:rsidRPr="008A4075">
        <w:rPr>
          <w:lang w:val="en-US"/>
        </w:rPr>
        <w:t xml:space="preserve">tric treatment), but </w:t>
      </w:r>
      <w:r w:rsidR="004D37FD">
        <w:rPr>
          <w:lang w:val="en-US"/>
        </w:rPr>
        <w:t>no such case was</w:t>
      </w:r>
      <w:r w:rsidR="00FF3E51" w:rsidRPr="0033147B">
        <w:rPr>
          <w:lang w:val="en-GB"/>
        </w:rPr>
        <w:t xml:space="preserve"> reported.</w:t>
      </w:r>
      <w:r w:rsidR="00FF3E51">
        <w:rPr>
          <w:rStyle w:val="Funotenzeichen"/>
        </w:rPr>
        <w:footnoteReference w:id="338"/>
      </w:r>
      <w:r w:rsidR="00FF3E51" w:rsidRPr="0033147B">
        <w:rPr>
          <w:lang w:val="en-GB"/>
        </w:rPr>
        <w:t xml:space="preserve"> According to defence lawyers, instructions (e.g. </w:t>
      </w:r>
      <w:r w:rsidR="002963AC" w:rsidRPr="0033147B">
        <w:rPr>
          <w:lang w:val="en-GB"/>
        </w:rPr>
        <w:t xml:space="preserve">to report on a change of residence) are usually supervised by domestic </w:t>
      </w:r>
      <w:r w:rsidR="002963AC" w:rsidRPr="0033147B">
        <w:rPr>
          <w:lang w:val="en-GB"/>
        </w:rPr>
        <w:lastRenderedPageBreak/>
        <w:t>(German) courts.</w:t>
      </w:r>
      <w:r w:rsidR="002963AC">
        <w:rPr>
          <w:rStyle w:val="Funotenzeichen"/>
        </w:rPr>
        <w:footnoteReference w:id="339"/>
      </w:r>
      <w:r w:rsidR="00927520" w:rsidRPr="0033147B">
        <w:rPr>
          <w:lang w:val="en-GB"/>
        </w:rPr>
        <w:t xml:space="preserve"> </w:t>
      </w:r>
      <w:r w:rsidR="00F245A9" w:rsidRPr="0033147B">
        <w:rPr>
          <w:lang w:val="en-GB"/>
        </w:rPr>
        <w:t xml:space="preserve">German </w:t>
      </w:r>
      <w:r w:rsidR="005162AF" w:rsidRPr="0033147B">
        <w:rPr>
          <w:lang w:val="en-GB"/>
        </w:rPr>
        <w:t xml:space="preserve">courts tend to </w:t>
      </w:r>
      <w:r w:rsidR="00F245A9" w:rsidRPr="0033147B">
        <w:rPr>
          <w:lang w:val="en-GB"/>
        </w:rPr>
        <w:t xml:space="preserve">retain their jurisdiction in enforcement proceedings and the power to decide on whether to revoke the suspension of enforcement; instead of transferring </w:t>
      </w:r>
      <w:r w:rsidR="00927520" w:rsidRPr="0033147B">
        <w:rPr>
          <w:lang w:val="en-GB"/>
        </w:rPr>
        <w:t>enforcement and supervision</w:t>
      </w:r>
      <w:r w:rsidR="005162AF" w:rsidRPr="0033147B">
        <w:rPr>
          <w:lang w:val="en-GB"/>
        </w:rPr>
        <w:t xml:space="preserve"> </w:t>
      </w:r>
      <w:r w:rsidR="00F245A9" w:rsidRPr="0033147B">
        <w:rPr>
          <w:lang w:val="en-GB"/>
        </w:rPr>
        <w:t>to another Member State, the court requests the probationary service of another Member State for assistance in supervising the convicted person.</w:t>
      </w:r>
      <w:r w:rsidR="00F245A9">
        <w:rPr>
          <w:rStyle w:val="Funotenzeichen"/>
        </w:rPr>
        <w:footnoteReference w:id="340"/>
      </w:r>
      <w:r w:rsidR="00F245A9" w:rsidRPr="0033147B">
        <w:rPr>
          <w:lang w:val="en-GB"/>
        </w:rPr>
        <w:t xml:space="preserve"> </w:t>
      </w:r>
      <w:r w:rsidR="002963AC" w:rsidRPr="0033147B">
        <w:rPr>
          <w:lang w:val="en-GB"/>
        </w:rPr>
        <w:t xml:space="preserve">In </w:t>
      </w:r>
      <w:r w:rsidR="00927520" w:rsidRPr="0033147B">
        <w:rPr>
          <w:lang w:val="en-GB"/>
        </w:rPr>
        <w:t>such cases,</w:t>
      </w:r>
      <w:r w:rsidR="002963AC" w:rsidRPr="0033147B">
        <w:rPr>
          <w:lang w:val="en-GB"/>
        </w:rPr>
        <w:t xml:space="preserve"> defence lawyers seek to ensure that the convicted person complies with the instructions in order to prevent the suspension from being revoked.</w:t>
      </w:r>
      <w:r w:rsidR="002963AC">
        <w:rPr>
          <w:rStyle w:val="Funotenzeichen"/>
        </w:rPr>
        <w:footnoteReference w:id="341"/>
      </w:r>
    </w:p>
    <w:p w14:paraId="6296449B" w14:textId="5F603F1C" w:rsidR="00A00AE1" w:rsidRPr="00C127F5" w:rsidRDefault="00A00AE1" w:rsidP="00A00AE1">
      <w:pPr>
        <w:spacing w:line="360" w:lineRule="auto"/>
        <w:jc w:val="both"/>
        <w:rPr>
          <w:lang w:val="en-US"/>
        </w:rPr>
      </w:pPr>
    </w:p>
    <w:p w14:paraId="0F42C440" w14:textId="77777777" w:rsidR="00006663" w:rsidRPr="00006663" w:rsidRDefault="00006663" w:rsidP="00777A20">
      <w:pPr>
        <w:pStyle w:val="Listenabsatz"/>
        <w:numPr>
          <w:ilvl w:val="0"/>
          <w:numId w:val="36"/>
        </w:numPr>
        <w:spacing w:line="360" w:lineRule="auto"/>
        <w:ind w:left="2410" w:hanging="142"/>
        <w:jc w:val="both"/>
        <w:rPr>
          <w:lang w:val="en-GB"/>
        </w:rPr>
      </w:pPr>
      <w:r w:rsidRPr="00006663">
        <w:rPr>
          <w:lang w:val="en-GB"/>
        </w:rPr>
        <w:t xml:space="preserve">Convention on Transfer of Proceedings/European Convention on Mutual Assistance in Criminal Matters </w:t>
      </w:r>
      <w:r w:rsidRPr="00006663">
        <w:rPr>
          <w:color w:val="FF0000"/>
          <w:lang w:val="en-GB"/>
        </w:rPr>
        <w:t>(?)</w:t>
      </w:r>
    </w:p>
    <w:p w14:paraId="0F6F88C5" w14:textId="77777777" w:rsidR="00006663" w:rsidRDefault="00006663" w:rsidP="00777A20">
      <w:pPr>
        <w:spacing w:line="360" w:lineRule="auto"/>
        <w:ind w:left="2268"/>
        <w:jc w:val="both"/>
        <w:rPr>
          <w:color w:val="FF0000"/>
          <w:lang w:val="en-GB"/>
        </w:rPr>
      </w:pPr>
      <w:r w:rsidRPr="00353C2A">
        <w:rPr>
          <w:color w:val="FF0000"/>
          <w:lang w:val="en-GB"/>
        </w:rPr>
        <w:t xml:space="preserve">Is it possible </w:t>
      </w:r>
      <w:r w:rsidRPr="00353C2A">
        <w:rPr>
          <w:color w:val="FF0000"/>
          <w:u w:val="single"/>
          <w:lang w:val="en-GB"/>
        </w:rPr>
        <w:t>under national law</w:t>
      </w:r>
      <w:r w:rsidRPr="00353C2A">
        <w:rPr>
          <w:color w:val="FF0000"/>
          <w:lang w:val="en-GB"/>
        </w:rPr>
        <w:t xml:space="preserve"> to transfer proceedings once the sentence is final and enforceable </w:t>
      </w:r>
      <w:bookmarkStart w:id="234" w:name="_Hlk142644274"/>
      <w:r w:rsidRPr="00353C2A">
        <w:rPr>
          <w:color w:val="FF0000"/>
          <w:lang w:val="en-GB"/>
        </w:rPr>
        <w:t>and the other MS refuses to recognise the sentenc</w:t>
      </w:r>
      <w:bookmarkEnd w:id="234"/>
      <w:r w:rsidRPr="00353C2A">
        <w:rPr>
          <w:color w:val="FF0000"/>
          <w:lang w:val="en-GB"/>
        </w:rPr>
        <w:t>e?</w:t>
      </w:r>
    </w:p>
    <w:p w14:paraId="7EB76E46" w14:textId="017E6414" w:rsidR="001F1C80" w:rsidRDefault="005C239B" w:rsidP="001F1C80">
      <w:pPr>
        <w:spacing w:line="360" w:lineRule="auto"/>
        <w:jc w:val="both"/>
        <w:rPr>
          <w:lang w:val="en-GB"/>
        </w:rPr>
      </w:pPr>
      <w:r>
        <w:rPr>
          <w:lang w:val="en-GB"/>
        </w:rPr>
        <w:t xml:space="preserve">The AICCM does not contain any provision on the transfer of criminal proceedings. The applicable </w:t>
      </w:r>
      <w:r w:rsidR="00627D91">
        <w:rPr>
          <w:lang w:val="en-GB"/>
        </w:rPr>
        <w:t>g</w:t>
      </w:r>
      <w:r>
        <w:rPr>
          <w:lang w:val="en-GB"/>
        </w:rPr>
        <w:t xml:space="preserve">uidelines provide that </w:t>
      </w:r>
      <w:r w:rsidR="001F1C80">
        <w:rPr>
          <w:lang w:val="en-GB"/>
        </w:rPr>
        <w:t xml:space="preserve">a corresponding request should be accompanied by a copy of the judgment (No. 146(3) GICCM). </w:t>
      </w:r>
      <w:r>
        <w:rPr>
          <w:lang w:val="en-GB"/>
        </w:rPr>
        <w:t xml:space="preserve">This implies that criminal proceedings may still be transferred after the trial has been closed and a judgment has been delivered by the court. One might argue, however, that a transfer of criminal proceedings is no longer possible where such proceedings have been finally </w:t>
      </w:r>
      <w:r w:rsidR="00483D88">
        <w:rPr>
          <w:lang w:val="en-GB"/>
        </w:rPr>
        <w:t>disposed of: If the competent court (or public prosecution office) must not continue or resume domestic criminal proceedings, they must not transfer such proceedings, either.</w:t>
      </w:r>
      <w:r w:rsidR="003D7212">
        <w:rPr>
          <w:lang w:val="en-GB"/>
        </w:rPr>
        <w:t xml:space="preserve"> As far as </w:t>
      </w:r>
      <w:r w:rsidR="004D2AC2">
        <w:rPr>
          <w:lang w:val="en-US"/>
        </w:rPr>
        <w:t>Regulation (EU) 2024/3011 on the transfer of proceedings in criminal matters</w:t>
      </w:r>
      <w:r w:rsidR="004D2AC2" w:rsidDel="004D2AC2">
        <w:rPr>
          <w:lang w:val="en-GB"/>
        </w:rPr>
        <w:t xml:space="preserve"> </w:t>
      </w:r>
      <w:r w:rsidR="003D7212">
        <w:rPr>
          <w:lang w:val="en-GB"/>
        </w:rPr>
        <w:t xml:space="preserve">is concerned, the request form only covers the trial and the pre-trial stage and, thereby, seems to imply that proceedings cannot be transferred in a later stage of proceedings (appeal or enforcement). </w:t>
      </w:r>
      <w:r w:rsidR="00483D88">
        <w:rPr>
          <w:lang w:val="en-GB"/>
        </w:rPr>
        <w:t xml:space="preserve">On the other hand, the transfer of criminal proceedings is based upon Art. 21 of the European Convention on Mutual Legal Assistance (‘laying of information in connection with proceedings’). Accordingly, the transfer of proceedings is based upon an exchange of information rather than a request-based mechanism: The German ‘request’ is an equivalent to </w:t>
      </w:r>
      <w:r w:rsidR="008468B0">
        <w:rPr>
          <w:lang w:val="en-GB"/>
        </w:rPr>
        <w:t>a report of a crime that triggers a criminal investigation in the receiving (‘requested’) state.</w:t>
      </w:r>
      <w:r w:rsidR="008468B0">
        <w:rPr>
          <w:rStyle w:val="Funotenzeichen"/>
          <w:lang w:val="en-GB"/>
        </w:rPr>
        <w:footnoteReference w:id="342"/>
      </w:r>
      <w:r w:rsidR="008468B0">
        <w:rPr>
          <w:lang w:val="en-GB"/>
        </w:rPr>
        <w:t xml:space="preserve"> As the termination of domestic proceedings does not bar a spontaneous exchange of information</w:t>
      </w:r>
      <w:r w:rsidR="003D7212">
        <w:rPr>
          <w:lang w:val="en-GB"/>
        </w:rPr>
        <w:t xml:space="preserve"> (recital (11) of </w:t>
      </w:r>
      <w:r w:rsidR="00BF6D54">
        <w:rPr>
          <w:lang w:val="en-US"/>
        </w:rPr>
        <w:t xml:space="preserve">Regulation (EU) 2024/3011 on the transfer of </w:t>
      </w:r>
      <w:r w:rsidR="00BF6D54">
        <w:rPr>
          <w:lang w:val="en-US"/>
        </w:rPr>
        <w:lastRenderedPageBreak/>
        <w:t>proceedings in criminal matters</w:t>
      </w:r>
      <w:r w:rsidR="003D7212">
        <w:rPr>
          <w:lang w:val="en-GB"/>
        </w:rPr>
        <w:t>)</w:t>
      </w:r>
      <w:r w:rsidR="008468B0">
        <w:rPr>
          <w:lang w:val="en-GB"/>
        </w:rPr>
        <w:t xml:space="preserve">, a transfer of proceedings </w:t>
      </w:r>
      <w:r w:rsidR="0041093A">
        <w:rPr>
          <w:lang w:val="en-GB"/>
        </w:rPr>
        <w:t xml:space="preserve">can still be triggered </w:t>
      </w:r>
      <w:r w:rsidR="008468B0">
        <w:rPr>
          <w:lang w:val="en-GB"/>
        </w:rPr>
        <w:t xml:space="preserve">by </w:t>
      </w:r>
      <w:r w:rsidR="0041093A">
        <w:rPr>
          <w:lang w:val="en-GB"/>
        </w:rPr>
        <w:t>spontaneous exchange of information (Art. 7 of the EU Convention on Mutual Assistance, see</w:t>
      </w:r>
      <w:r w:rsidR="001C6963">
        <w:rPr>
          <w:lang w:val="en-GB"/>
        </w:rPr>
        <w:t xml:space="preserve"> also </w:t>
      </w:r>
      <w:r w:rsidR="001C6963">
        <w:rPr>
          <w:i/>
          <w:lang w:val="en-GB"/>
        </w:rPr>
        <w:t xml:space="preserve">supra </w:t>
      </w:r>
      <w:r w:rsidR="001C6963">
        <w:rPr>
          <w:lang w:val="en-GB"/>
        </w:rPr>
        <w:t>3.1., with regard to bilateral treaties supplementing Art. 21 of the European Convention on Mutual Legal Assistance)</w:t>
      </w:r>
      <w:r w:rsidR="0041093A">
        <w:rPr>
          <w:lang w:val="en-GB"/>
        </w:rPr>
        <w:t>.</w:t>
      </w:r>
      <w:r w:rsidR="003D5321">
        <w:rPr>
          <w:rStyle w:val="Funotenzeichen"/>
          <w:lang w:val="en-GB"/>
        </w:rPr>
        <w:footnoteReference w:id="343"/>
      </w:r>
      <w:r w:rsidR="0041093A">
        <w:rPr>
          <w:lang w:val="en-GB"/>
        </w:rPr>
        <w:t xml:space="preserve"> This might </w:t>
      </w:r>
      <w:r w:rsidR="002C71BE">
        <w:rPr>
          <w:lang w:val="en-GB"/>
        </w:rPr>
        <w:t>be considered where a request for the enforcement of the imposed sentence is not appropriate (</w:t>
      </w:r>
      <w:r w:rsidR="0041093A">
        <w:rPr>
          <w:lang w:val="en-GB"/>
        </w:rPr>
        <w:t xml:space="preserve">see for a request-based transfer of proceedings: </w:t>
      </w:r>
      <w:r w:rsidR="002C71BE">
        <w:rPr>
          <w:lang w:val="en-GB"/>
        </w:rPr>
        <w:t>No. 146(2) GICCM).</w:t>
      </w:r>
      <w:r w:rsidR="00BA6EEF">
        <w:rPr>
          <w:rStyle w:val="Funotenzeichen"/>
          <w:lang w:val="en-GB"/>
        </w:rPr>
        <w:footnoteReference w:id="344"/>
      </w:r>
      <w:r w:rsidR="002C71BE">
        <w:rPr>
          <w:lang w:val="en-GB"/>
        </w:rPr>
        <w:t xml:space="preserve"> </w:t>
      </w:r>
      <w:r w:rsidR="00D2075A">
        <w:rPr>
          <w:lang w:val="en-GB"/>
        </w:rPr>
        <w:t>However, a transfer of criminal proceedings does not serve the interest in an efficient administration of justice</w:t>
      </w:r>
      <w:r w:rsidR="00BA6EEF">
        <w:rPr>
          <w:lang w:val="en-GB"/>
        </w:rPr>
        <w:t xml:space="preserve"> and the existence of two final judgments on the same facts will raise further problems</w:t>
      </w:r>
      <w:r w:rsidR="00D2075A">
        <w:rPr>
          <w:lang w:val="en-GB"/>
        </w:rPr>
        <w:t>.</w:t>
      </w:r>
      <w:r w:rsidR="00BA6EEF">
        <w:rPr>
          <w:rStyle w:val="Funotenzeichen"/>
          <w:lang w:val="en-GB"/>
        </w:rPr>
        <w:footnoteReference w:id="345"/>
      </w:r>
      <w:r w:rsidR="00D2075A">
        <w:rPr>
          <w:lang w:val="en-GB"/>
        </w:rPr>
        <w:t xml:space="preserve"> Accordingly, the draft provisions on the transfer of criminal proceedings focus on the transfer of proceedings in the investigation and trial phase.</w:t>
      </w:r>
      <w:r w:rsidR="00D2075A">
        <w:rPr>
          <w:rStyle w:val="Funotenzeichen"/>
          <w:lang w:val="en-GB"/>
        </w:rPr>
        <w:footnoteReference w:id="346"/>
      </w:r>
    </w:p>
    <w:p w14:paraId="033FF401" w14:textId="77777777" w:rsidR="001C6963" w:rsidRPr="00353C2A" w:rsidRDefault="001C6963" w:rsidP="001F1C80">
      <w:pPr>
        <w:spacing w:line="360" w:lineRule="auto"/>
        <w:jc w:val="both"/>
        <w:rPr>
          <w:color w:val="FF0000"/>
          <w:lang w:val="en-GB"/>
        </w:rPr>
      </w:pPr>
    </w:p>
    <w:p w14:paraId="44DEA5EA" w14:textId="77777777" w:rsidR="00006663" w:rsidRDefault="00006663" w:rsidP="00777A20">
      <w:pPr>
        <w:spacing w:line="360" w:lineRule="auto"/>
        <w:ind w:left="2268"/>
        <w:jc w:val="both"/>
        <w:rPr>
          <w:lang w:val="en-GB"/>
        </w:rPr>
      </w:pPr>
      <w:r w:rsidRPr="00353C2A">
        <w:rPr>
          <w:color w:val="FF0000"/>
          <w:lang w:val="en-GB"/>
        </w:rPr>
        <w:t xml:space="preserve">It is possible </w:t>
      </w:r>
      <w:r w:rsidRPr="00353C2A">
        <w:rPr>
          <w:color w:val="FF0000"/>
          <w:u w:val="single"/>
          <w:lang w:val="en-GB"/>
        </w:rPr>
        <w:t>under national law</w:t>
      </w:r>
      <w:r w:rsidRPr="00353C2A">
        <w:rPr>
          <w:color w:val="FF0000"/>
          <w:lang w:val="en-GB"/>
        </w:rPr>
        <w:t xml:space="preserve"> to ‘divide’ ‘composite sentences’ and to deal with the unconditional part under the national transposition of FD 2008/909/JHA and with the conditional part under the national transposition of FD 2008/947/JHA?</w:t>
      </w:r>
      <w:r w:rsidRPr="00353C2A">
        <w:rPr>
          <w:lang w:val="en-GB"/>
        </w:rPr>
        <w:t xml:space="preserve"> </w:t>
      </w:r>
    </w:p>
    <w:p w14:paraId="3C8EBA60" w14:textId="1CBB55CE" w:rsidR="006E67D9" w:rsidRDefault="006A0CE5" w:rsidP="006E67D9">
      <w:pPr>
        <w:spacing w:line="360" w:lineRule="auto"/>
        <w:jc w:val="both"/>
        <w:rPr>
          <w:lang w:val="en-GB"/>
        </w:rPr>
      </w:pPr>
      <w:r>
        <w:rPr>
          <w:lang w:val="en-GB"/>
        </w:rPr>
        <w:t>As the German sanctioning regime does not provide for ‘composite sentences’, there is no discussion on this issue</w:t>
      </w:r>
      <w:r w:rsidR="006E67D9">
        <w:rPr>
          <w:lang w:val="en-GB"/>
        </w:rPr>
        <w:t xml:space="preserve">. </w:t>
      </w:r>
      <w:r w:rsidR="0027305C">
        <w:rPr>
          <w:lang w:val="en-GB"/>
        </w:rPr>
        <w:t>In the case of i</w:t>
      </w:r>
      <w:r w:rsidR="006E67D9">
        <w:rPr>
          <w:lang w:val="en-GB"/>
        </w:rPr>
        <w:t>ncoming requests</w:t>
      </w:r>
      <w:r w:rsidR="0027305C">
        <w:rPr>
          <w:lang w:val="en-GB"/>
        </w:rPr>
        <w:t xml:space="preserve"> the conditional part takes the lead and is</w:t>
      </w:r>
      <w:r w:rsidR="006E67D9">
        <w:rPr>
          <w:lang w:val="en-GB"/>
        </w:rPr>
        <w:t xml:space="preserve"> executed under the rules implementing FD 2008/909/JHA (sections 84 ff. AICCM), </w:t>
      </w:r>
      <w:r w:rsidR="0027305C">
        <w:rPr>
          <w:lang w:val="en-GB"/>
        </w:rPr>
        <w:t>whereas the conditional part of the sentence is adapted to a decision to suspend the enforcement of the conditional part (Art. 8(3) FD 2008/909/JHA, section 84g(5) No. 1 AICCM)</w:t>
      </w:r>
      <w:r>
        <w:rPr>
          <w:lang w:val="en-GB"/>
        </w:rPr>
        <w:t xml:space="preserve"> (see </w:t>
      </w:r>
      <w:r>
        <w:rPr>
          <w:i/>
          <w:lang w:val="en-GB"/>
        </w:rPr>
        <w:t xml:space="preserve">supra </w:t>
      </w:r>
      <w:r>
        <w:rPr>
          <w:lang w:val="en-GB"/>
        </w:rPr>
        <w:t>3.1.).</w:t>
      </w:r>
    </w:p>
    <w:p w14:paraId="6E594747" w14:textId="07F46CE8" w:rsidR="006A0CE5" w:rsidRPr="00353C2A" w:rsidRDefault="006A0CE5" w:rsidP="006A0CE5">
      <w:pPr>
        <w:spacing w:line="360" w:lineRule="auto"/>
        <w:jc w:val="both"/>
        <w:rPr>
          <w:lang w:val="en-GB"/>
        </w:rPr>
      </w:pPr>
    </w:p>
    <w:p w14:paraId="2C8FCC43" w14:textId="77777777" w:rsidR="00006663" w:rsidRPr="00353C2A" w:rsidRDefault="00006663" w:rsidP="00777A20">
      <w:pPr>
        <w:pStyle w:val="berschrift5"/>
        <w:ind w:left="1843" w:hanging="425"/>
        <w:rPr>
          <w:lang w:val="en-GB"/>
        </w:rPr>
      </w:pPr>
      <w:bookmarkStart w:id="235" w:name="_Toc147328996"/>
      <w:bookmarkStart w:id="236" w:name="_Toc147329108"/>
      <w:bookmarkStart w:id="237" w:name="_Toc170228538"/>
      <w:r w:rsidRPr="00353C2A">
        <w:rPr>
          <w:lang w:val="en-GB"/>
        </w:rPr>
        <w:t>Person is present in another MS</w:t>
      </w:r>
      <w:bookmarkEnd w:id="235"/>
      <w:bookmarkEnd w:id="236"/>
      <w:bookmarkEnd w:id="237"/>
    </w:p>
    <w:p w14:paraId="239C0068" w14:textId="77777777" w:rsidR="00006663" w:rsidRPr="00353C2A" w:rsidRDefault="00006663" w:rsidP="00777A20">
      <w:pPr>
        <w:spacing w:line="360" w:lineRule="auto"/>
        <w:ind w:left="1843"/>
        <w:jc w:val="both"/>
        <w:rPr>
          <w:lang w:val="en-GB"/>
        </w:rPr>
      </w:pPr>
      <w:r w:rsidRPr="00353C2A">
        <w:rPr>
          <w:lang w:val="en-GB"/>
        </w:rPr>
        <w:t>(ee) enforcement in another MS</w:t>
      </w:r>
    </w:p>
    <w:p w14:paraId="32C855FF" w14:textId="77777777" w:rsidR="00006663" w:rsidRPr="00006663" w:rsidRDefault="00006663" w:rsidP="00777A20">
      <w:pPr>
        <w:pStyle w:val="Listenabsatz"/>
        <w:numPr>
          <w:ilvl w:val="0"/>
          <w:numId w:val="36"/>
        </w:numPr>
        <w:spacing w:line="360" w:lineRule="auto"/>
        <w:ind w:left="2410" w:hanging="142"/>
        <w:jc w:val="both"/>
        <w:rPr>
          <w:lang w:val="en-GB"/>
        </w:rPr>
      </w:pPr>
      <w:r w:rsidRPr="00006663">
        <w:rPr>
          <w:lang w:val="en-GB"/>
        </w:rPr>
        <w:t>FD 2008/909/JHA</w:t>
      </w:r>
    </w:p>
    <w:p w14:paraId="4A97E4AA" w14:textId="77777777" w:rsidR="00006663" w:rsidRDefault="00006663" w:rsidP="00777A20">
      <w:pPr>
        <w:spacing w:line="360" w:lineRule="auto"/>
        <w:ind w:left="2268"/>
        <w:jc w:val="both"/>
        <w:rPr>
          <w:color w:val="FF0000"/>
          <w:lang w:val="en-GB"/>
        </w:rPr>
      </w:pPr>
      <w:r w:rsidRPr="00353C2A">
        <w:rPr>
          <w:color w:val="FF0000"/>
          <w:lang w:val="en-GB"/>
        </w:rPr>
        <w:t>Enforcement of a custodial sentence</w:t>
      </w:r>
    </w:p>
    <w:p w14:paraId="1C51C19D" w14:textId="4B396613" w:rsidR="006A0CE5" w:rsidRDefault="006A0CE5" w:rsidP="006A0CE5">
      <w:pPr>
        <w:spacing w:line="360" w:lineRule="auto"/>
        <w:jc w:val="both"/>
        <w:rPr>
          <w:lang w:val="en-GB"/>
        </w:rPr>
      </w:pPr>
      <w:r>
        <w:rPr>
          <w:lang w:val="en-GB"/>
        </w:rPr>
        <w:t xml:space="preserve">If the sentenced person is present in the other MS, the transfer of enforcement does not require his </w:t>
      </w:r>
      <w:r w:rsidR="003C0CBA">
        <w:rPr>
          <w:lang w:val="en-GB"/>
        </w:rPr>
        <w:t xml:space="preserve">consent; an </w:t>
      </w:r>
      <w:r w:rsidR="00881834">
        <w:rPr>
          <w:lang w:val="en-GB"/>
        </w:rPr>
        <w:t>authori</w:t>
      </w:r>
      <w:r w:rsidR="005A3481">
        <w:rPr>
          <w:lang w:val="en-GB"/>
        </w:rPr>
        <w:t>s</w:t>
      </w:r>
      <w:r w:rsidR="00881834">
        <w:rPr>
          <w:lang w:val="en-GB"/>
        </w:rPr>
        <w:t xml:space="preserve">ation by the Higher </w:t>
      </w:r>
      <w:r w:rsidR="003C0CBA">
        <w:rPr>
          <w:lang w:val="en-GB"/>
        </w:rPr>
        <w:t>Regional Court is not required, either.</w:t>
      </w:r>
      <w:r w:rsidR="003C0CBA">
        <w:rPr>
          <w:rStyle w:val="Funotenzeichen"/>
          <w:lang w:val="en-GB"/>
        </w:rPr>
        <w:footnoteReference w:id="347"/>
      </w:r>
    </w:p>
    <w:p w14:paraId="0E116988" w14:textId="0CC0E843" w:rsidR="003C0CBA" w:rsidRDefault="003C0CBA" w:rsidP="006A0CE5">
      <w:pPr>
        <w:spacing w:line="360" w:lineRule="auto"/>
        <w:jc w:val="both"/>
        <w:rPr>
          <w:lang w:val="en-GB"/>
        </w:rPr>
      </w:pPr>
      <w:r>
        <w:rPr>
          <w:lang w:val="en-GB"/>
        </w:rPr>
        <w:t xml:space="preserve">The transfer of enforcement lies within the discretion of the enforcing authority (section 85(1) AICCM: ‘may transfer’); in exercising its discretion, the public prosecutor must take into consideration the interests of the sentenced person (his reintegration into society) and the public interest in the effective enforcement of the imposed sentence (see </w:t>
      </w:r>
      <w:r>
        <w:rPr>
          <w:i/>
          <w:lang w:val="en-GB"/>
        </w:rPr>
        <w:t xml:space="preserve">supra </w:t>
      </w:r>
      <w:r>
        <w:rPr>
          <w:lang w:val="en-GB"/>
        </w:rPr>
        <w:t xml:space="preserve">with regard to scenario </w:t>
      </w:r>
      <w:r>
        <w:rPr>
          <w:lang w:val="en-GB"/>
        </w:rPr>
        <w:lastRenderedPageBreak/>
        <w:t xml:space="preserve">(a)). </w:t>
      </w:r>
      <w:r w:rsidR="000B064C">
        <w:rPr>
          <w:lang w:val="en-GB"/>
        </w:rPr>
        <w:t>The latter requirement might not be met if the conditions of enforcement (e.g. execution of a custodial sentence by home detention) are considered to be less severe and inadequate; in this case, the enforcing authority will issue a</w:t>
      </w:r>
      <w:r w:rsidR="00127DD2">
        <w:rPr>
          <w:lang w:val="en-GB"/>
        </w:rPr>
        <w:t>n</w:t>
      </w:r>
      <w:r w:rsidR="000B064C">
        <w:rPr>
          <w:lang w:val="en-GB"/>
        </w:rPr>
        <w:t xml:space="preserve"> EAW for the purpose of enforcement.</w:t>
      </w:r>
      <w:r w:rsidR="000B064C">
        <w:rPr>
          <w:rStyle w:val="Funotenzeichen"/>
          <w:lang w:val="en-GB"/>
        </w:rPr>
        <w:footnoteReference w:id="348"/>
      </w:r>
      <w:r w:rsidR="000B064C">
        <w:rPr>
          <w:lang w:val="en-GB"/>
        </w:rPr>
        <w:t xml:space="preserve"> </w:t>
      </w:r>
      <w:r>
        <w:rPr>
          <w:lang w:val="en-GB"/>
        </w:rPr>
        <w:t>According to the German government, the transfer of enforcement is usually appropriate where the other MS has refused to execute a</w:t>
      </w:r>
      <w:r w:rsidR="00127DD2">
        <w:rPr>
          <w:lang w:val="en-GB"/>
        </w:rPr>
        <w:t>n</w:t>
      </w:r>
      <w:r>
        <w:rPr>
          <w:lang w:val="en-GB"/>
        </w:rPr>
        <w:t xml:space="preserve"> EAW and to surrender the convicted person; in such cases, a transfer of enforcement under FD 2008/909/JHA will ensure that the </w:t>
      </w:r>
      <w:r w:rsidR="00D34AE3">
        <w:rPr>
          <w:lang w:val="en-GB"/>
        </w:rPr>
        <w:t xml:space="preserve">executing MS will not enforce the </w:t>
      </w:r>
      <w:r>
        <w:rPr>
          <w:lang w:val="en-GB"/>
        </w:rPr>
        <w:t xml:space="preserve">sentence </w:t>
      </w:r>
      <w:r w:rsidR="00D34AE3">
        <w:rPr>
          <w:lang w:val="en-GB"/>
        </w:rPr>
        <w:t>on its own, but</w:t>
      </w:r>
      <w:r>
        <w:rPr>
          <w:lang w:val="en-GB"/>
        </w:rPr>
        <w:t xml:space="preserve"> in accordance with the conditions set out by EU law (Art. 17 FD 2008/909/JHA).</w:t>
      </w:r>
      <w:r>
        <w:rPr>
          <w:rStyle w:val="Funotenzeichen"/>
          <w:lang w:val="en-GB"/>
        </w:rPr>
        <w:footnoteReference w:id="349"/>
      </w:r>
    </w:p>
    <w:p w14:paraId="5F9AFD32" w14:textId="77777777" w:rsidR="00DA0558" w:rsidRPr="006A0CE5" w:rsidRDefault="00DA0558" w:rsidP="006A0CE5">
      <w:pPr>
        <w:spacing w:line="360" w:lineRule="auto"/>
        <w:jc w:val="both"/>
        <w:rPr>
          <w:lang w:val="en-GB"/>
        </w:rPr>
      </w:pPr>
    </w:p>
    <w:p w14:paraId="402C1D1B" w14:textId="77777777" w:rsidR="00006663" w:rsidRPr="00006663" w:rsidRDefault="00006663" w:rsidP="00777A20">
      <w:pPr>
        <w:pStyle w:val="Listenabsatz"/>
        <w:numPr>
          <w:ilvl w:val="0"/>
          <w:numId w:val="36"/>
        </w:numPr>
        <w:spacing w:line="360" w:lineRule="auto"/>
        <w:ind w:left="2410" w:hanging="142"/>
        <w:jc w:val="both"/>
        <w:rPr>
          <w:color w:val="000000" w:themeColor="text1"/>
          <w:lang w:val="en-GB"/>
        </w:rPr>
      </w:pPr>
      <w:r w:rsidRPr="00006663">
        <w:rPr>
          <w:color w:val="000000" w:themeColor="text1"/>
          <w:lang w:val="en-GB"/>
        </w:rPr>
        <w:t>FD 2008/947/JHA</w:t>
      </w:r>
    </w:p>
    <w:p w14:paraId="77657C5B" w14:textId="77777777" w:rsidR="00006663" w:rsidRDefault="00006663" w:rsidP="00777A20">
      <w:pPr>
        <w:spacing w:line="360" w:lineRule="auto"/>
        <w:ind w:left="2268"/>
        <w:jc w:val="both"/>
        <w:rPr>
          <w:color w:val="FF0000"/>
          <w:lang w:val="en-GB"/>
        </w:rPr>
      </w:pPr>
      <w:r w:rsidRPr="00353C2A">
        <w:rPr>
          <w:color w:val="FF0000"/>
          <w:lang w:val="en-GB"/>
        </w:rPr>
        <w:t>Enforcement of an alternative sanction/a probation decision</w:t>
      </w:r>
    </w:p>
    <w:p w14:paraId="78F6F3A9" w14:textId="175F130F" w:rsidR="004A543D" w:rsidRDefault="004A543D" w:rsidP="00D34AE3">
      <w:pPr>
        <w:spacing w:line="360" w:lineRule="auto"/>
        <w:jc w:val="both"/>
        <w:rPr>
          <w:lang w:val="en-GB"/>
        </w:rPr>
      </w:pPr>
      <w:r>
        <w:rPr>
          <w:lang w:val="en-GB"/>
        </w:rPr>
        <w:t xml:space="preserve">According to German law, probation measures may be ordered even if the </w:t>
      </w:r>
      <w:r w:rsidR="00202892">
        <w:rPr>
          <w:lang w:val="en-GB"/>
        </w:rPr>
        <w:t>released</w:t>
      </w:r>
      <w:r>
        <w:rPr>
          <w:lang w:val="en-GB"/>
        </w:rPr>
        <w:t xml:space="preserve"> person </w:t>
      </w:r>
      <w:r w:rsidR="00202892">
        <w:rPr>
          <w:lang w:val="en-GB"/>
        </w:rPr>
        <w:t xml:space="preserve">will take his </w:t>
      </w:r>
      <w:r>
        <w:rPr>
          <w:lang w:val="en-GB"/>
        </w:rPr>
        <w:t>reside</w:t>
      </w:r>
      <w:r w:rsidR="00202892">
        <w:rPr>
          <w:lang w:val="en-GB"/>
        </w:rPr>
        <w:t>nce</w:t>
      </w:r>
      <w:r>
        <w:rPr>
          <w:lang w:val="en-GB"/>
        </w:rPr>
        <w:t xml:space="preserve"> in another MS; in this case, supervision can be exercised by German authorities or transferred to the state where the convicted person resides.</w:t>
      </w:r>
      <w:r>
        <w:rPr>
          <w:rStyle w:val="Funotenzeichen"/>
          <w:lang w:val="en-GB"/>
        </w:rPr>
        <w:footnoteReference w:id="350"/>
      </w:r>
      <w:r w:rsidR="00487AD5">
        <w:rPr>
          <w:lang w:val="en-GB"/>
        </w:rPr>
        <w:t xml:space="preserve"> As has been mentioned above (</w:t>
      </w:r>
      <w:r w:rsidR="00487AD5">
        <w:rPr>
          <w:i/>
          <w:lang w:val="en-GB"/>
        </w:rPr>
        <w:t xml:space="preserve">supra </w:t>
      </w:r>
      <w:r w:rsidR="00487AD5">
        <w:rPr>
          <w:lang w:val="en-GB"/>
        </w:rPr>
        <w:t xml:space="preserve">on scenario (a)), </w:t>
      </w:r>
      <w:r w:rsidR="00487AD5" w:rsidRPr="0033147B">
        <w:rPr>
          <w:lang w:val="en-GB"/>
        </w:rPr>
        <w:t>German courts tend to retain their jurisdiction in enforcement proceedings and the power to decide on whether to revoke the suspension of enforcement; instead of transferring enforcement and supervision to another Member State, the court requests the probationary service of another Member State for assistance in supervising the convicted person.</w:t>
      </w:r>
      <w:r w:rsidR="00487AD5">
        <w:rPr>
          <w:rStyle w:val="Funotenzeichen"/>
        </w:rPr>
        <w:footnoteReference w:id="351"/>
      </w:r>
      <w:r w:rsidR="00487AD5" w:rsidRPr="0033147B">
        <w:rPr>
          <w:lang w:val="en-GB"/>
        </w:rPr>
        <w:t xml:space="preserve"> </w:t>
      </w:r>
    </w:p>
    <w:p w14:paraId="5EE4535E" w14:textId="740DB4E6" w:rsidR="00D34AE3" w:rsidRDefault="00610EE4" w:rsidP="00D34AE3">
      <w:pPr>
        <w:spacing w:line="360" w:lineRule="auto"/>
        <w:jc w:val="both"/>
        <w:rPr>
          <w:lang w:val="en-GB"/>
        </w:rPr>
      </w:pPr>
      <w:r>
        <w:rPr>
          <w:lang w:val="en-GB"/>
        </w:rPr>
        <w:t>If the sentenced person is in the other (executing) MS, the supervision of probation measures may be transferred without his express</w:t>
      </w:r>
      <w:r w:rsidR="00BF6227">
        <w:rPr>
          <w:lang w:val="en-GB"/>
        </w:rPr>
        <w:t>ed</w:t>
      </w:r>
      <w:r>
        <w:rPr>
          <w:lang w:val="en-GB"/>
        </w:rPr>
        <w:t xml:space="preserve"> consent; the return to that MS is taken as an implicit consent.</w:t>
      </w:r>
      <w:r>
        <w:rPr>
          <w:rStyle w:val="Funotenzeichen"/>
          <w:lang w:val="en-GB"/>
        </w:rPr>
        <w:footnoteReference w:id="352"/>
      </w:r>
      <w:r>
        <w:rPr>
          <w:lang w:val="en-GB"/>
        </w:rPr>
        <w:t xml:space="preserve"> For the same reason, an authori</w:t>
      </w:r>
      <w:r w:rsidR="005A3481">
        <w:rPr>
          <w:lang w:val="en-GB"/>
        </w:rPr>
        <w:t>s</w:t>
      </w:r>
      <w:r>
        <w:rPr>
          <w:lang w:val="en-GB"/>
        </w:rPr>
        <w:t>ation by the Higher Regional Court is not required, either.</w:t>
      </w:r>
      <w:r>
        <w:rPr>
          <w:rStyle w:val="Funotenzeichen"/>
          <w:lang w:val="en-GB"/>
        </w:rPr>
        <w:footnoteReference w:id="353"/>
      </w:r>
      <w:r>
        <w:rPr>
          <w:lang w:val="en-GB"/>
        </w:rPr>
        <w:t xml:space="preserve"> The Higher Regional Court, however, is competent for an application of the convicted person challenging the decision of the enforcing authority not to transfer the supervision of probation measures (section 90m AICCM).</w:t>
      </w:r>
    </w:p>
    <w:p w14:paraId="1C0E687A" w14:textId="1B8A4885" w:rsidR="00610EE4" w:rsidRPr="0033147B" w:rsidRDefault="00972DDE" w:rsidP="00D34AE3">
      <w:pPr>
        <w:spacing w:line="360" w:lineRule="auto"/>
        <w:jc w:val="both"/>
        <w:rPr>
          <w:lang w:val="en-GB"/>
        </w:rPr>
      </w:pPr>
      <w:r>
        <w:rPr>
          <w:lang w:val="en-GB"/>
        </w:rPr>
        <w:lastRenderedPageBreak/>
        <w:t>The transfer of supervision lies within the discretion of the enforcing authority (section 90l(1) AICCM: ‘may transfer’); in exercising its discretion, the public prosecutor must take into consideration the interests of the sentenced person (his reintegration into society) and the public interest in the effective enforcement of the imposed sentence (</w:t>
      </w:r>
      <w:r>
        <w:rPr>
          <w:i/>
          <w:lang w:val="en-GB"/>
        </w:rPr>
        <w:t xml:space="preserve">supra </w:t>
      </w:r>
      <w:r>
        <w:rPr>
          <w:lang w:val="en-GB"/>
        </w:rPr>
        <w:t>on scenario (a)).</w:t>
      </w:r>
      <w:r>
        <w:rPr>
          <w:rStyle w:val="Funotenzeichen"/>
          <w:lang w:val="en-GB"/>
        </w:rPr>
        <w:footnoteReference w:id="354"/>
      </w:r>
      <w:r>
        <w:rPr>
          <w:lang w:val="en-GB"/>
        </w:rPr>
        <w:t xml:space="preserve"> Before taking its decision, </w:t>
      </w:r>
      <w:r w:rsidRPr="0033147B">
        <w:rPr>
          <w:lang w:val="en-GB"/>
        </w:rPr>
        <w:t>the enforcing authority gives the sentenced person the opportunity to make a statement (section 90l(1)3 AICCM).</w:t>
      </w:r>
    </w:p>
    <w:p w14:paraId="29256CFC" w14:textId="77777777" w:rsidR="00972DDE" w:rsidRDefault="00972DDE" w:rsidP="00D34AE3">
      <w:pPr>
        <w:spacing w:line="360" w:lineRule="auto"/>
        <w:jc w:val="both"/>
        <w:rPr>
          <w:lang w:val="en-GB"/>
        </w:rPr>
      </w:pPr>
    </w:p>
    <w:p w14:paraId="4DB93B57" w14:textId="766551EC" w:rsidR="00DB36F3" w:rsidRPr="007C13B4" w:rsidRDefault="007C13B4" w:rsidP="00D34AE3">
      <w:pPr>
        <w:spacing w:line="360" w:lineRule="auto"/>
        <w:jc w:val="both"/>
        <w:rPr>
          <w:lang w:val="en-GB"/>
        </w:rPr>
      </w:pPr>
      <w:r w:rsidRPr="00B867EB">
        <w:rPr>
          <w:lang w:val="en-GB"/>
        </w:rPr>
        <w:t>Art. 5 of the EU Convention on Mutual Assistance allows for serving a summons to the convicted person to commence the sentence (section 27 RECS – ‘Strafvollstreckungsordnung’)</w:t>
      </w:r>
      <w:r>
        <w:rPr>
          <w:lang w:val="en-GB"/>
        </w:rPr>
        <w:t>. A summons may be appropriate where the residence of the convicted person is known, but this instrument is rarely used in judicial practice</w:t>
      </w:r>
      <w:r w:rsidR="005A6792">
        <w:rPr>
          <w:lang w:val="en-GB"/>
        </w:rPr>
        <w:t>. This might be due to the fact that</w:t>
      </w:r>
      <w:r w:rsidR="00192F45" w:rsidRPr="00192F45">
        <w:rPr>
          <w:lang w:val="en-GB"/>
        </w:rPr>
        <w:t xml:space="preserve"> enforcement usually follows the judgment, so there is no need for a summons as the person is present</w:t>
      </w:r>
      <w:r w:rsidR="005A6792">
        <w:rPr>
          <w:lang w:val="en-GB"/>
        </w:rPr>
        <w:t xml:space="preserve"> (or even in remand detention)</w:t>
      </w:r>
      <w:r w:rsidR="00192F45">
        <w:rPr>
          <w:lang w:val="en-GB"/>
        </w:rPr>
        <w:t>.</w:t>
      </w:r>
      <w:r>
        <w:rPr>
          <w:rStyle w:val="Funotenzeichen"/>
          <w:lang w:val="en-GB"/>
        </w:rPr>
        <w:footnoteReference w:id="355"/>
      </w:r>
    </w:p>
    <w:p w14:paraId="600227AF" w14:textId="77777777" w:rsidR="00DB36F3" w:rsidRPr="007C13B4" w:rsidRDefault="00DB36F3" w:rsidP="00D34AE3">
      <w:pPr>
        <w:spacing w:line="360" w:lineRule="auto"/>
        <w:jc w:val="both"/>
        <w:rPr>
          <w:lang w:val="en-US"/>
        </w:rPr>
      </w:pPr>
    </w:p>
    <w:p w14:paraId="0B60B050" w14:textId="77777777" w:rsidR="00006663" w:rsidRPr="00006663" w:rsidRDefault="00006663" w:rsidP="00777A20">
      <w:pPr>
        <w:pStyle w:val="Listenabsatz"/>
        <w:numPr>
          <w:ilvl w:val="0"/>
          <w:numId w:val="36"/>
        </w:numPr>
        <w:spacing w:line="360" w:lineRule="auto"/>
        <w:ind w:left="2410" w:hanging="142"/>
        <w:jc w:val="both"/>
        <w:rPr>
          <w:lang w:val="en-GB"/>
        </w:rPr>
      </w:pPr>
      <w:r w:rsidRPr="00006663">
        <w:rPr>
          <w:lang w:val="en-GB"/>
        </w:rPr>
        <w:t>Convention on Transfer of Proceedings/European Convention on Mutual Assistance in Criminal Matters</w:t>
      </w:r>
    </w:p>
    <w:p w14:paraId="1758AD47" w14:textId="77777777" w:rsidR="00006663" w:rsidRPr="00353C2A" w:rsidRDefault="00006663" w:rsidP="00777A20">
      <w:pPr>
        <w:spacing w:line="360" w:lineRule="auto"/>
        <w:ind w:left="2268"/>
        <w:jc w:val="both"/>
        <w:rPr>
          <w:color w:val="FF0000"/>
          <w:lang w:val="en-GB"/>
        </w:rPr>
      </w:pPr>
      <w:r w:rsidRPr="00353C2A">
        <w:rPr>
          <w:color w:val="FF0000"/>
          <w:lang w:val="en-GB"/>
        </w:rPr>
        <w:t xml:space="preserve">Is it possible </w:t>
      </w:r>
      <w:r w:rsidRPr="00353C2A">
        <w:rPr>
          <w:color w:val="FF0000"/>
          <w:u w:val="single"/>
          <w:lang w:val="en-GB"/>
        </w:rPr>
        <w:t>under national law</w:t>
      </w:r>
      <w:r w:rsidRPr="00353C2A">
        <w:rPr>
          <w:color w:val="FF0000"/>
          <w:lang w:val="en-GB"/>
        </w:rPr>
        <w:t xml:space="preserve"> to transfer proceedings once the sentence is final and enforceable and the other MS refuses to surrender the person concerned and refuses to recognise the sentence?</w:t>
      </w:r>
    </w:p>
    <w:p w14:paraId="3FFC49D2" w14:textId="77777777" w:rsidR="00006663" w:rsidRDefault="00006663" w:rsidP="00777A20">
      <w:pPr>
        <w:spacing w:line="360" w:lineRule="auto"/>
        <w:ind w:left="2268"/>
        <w:jc w:val="both"/>
        <w:rPr>
          <w:color w:val="FF0000"/>
          <w:lang w:val="en-GB"/>
        </w:rPr>
      </w:pPr>
      <w:r w:rsidRPr="00353C2A">
        <w:rPr>
          <w:color w:val="FF0000"/>
          <w:lang w:val="en-GB"/>
        </w:rPr>
        <w:t>It is possible under national law to ‘divide’ ‘composite sentences’ and to deal with the unconditional part under the national transposition of FD 2008/909/JHA and with the conditional part under the national transposition of FD 2008/947/JHA?</w:t>
      </w:r>
    </w:p>
    <w:p w14:paraId="52A0A542" w14:textId="327B7633" w:rsidR="00972DDE" w:rsidRDefault="00972DDE" w:rsidP="00972DDE">
      <w:pPr>
        <w:spacing w:line="360" w:lineRule="auto"/>
        <w:jc w:val="both"/>
        <w:rPr>
          <w:lang w:val="en-GB"/>
        </w:rPr>
      </w:pPr>
      <w:r>
        <w:rPr>
          <w:lang w:val="en-GB"/>
        </w:rPr>
        <w:t xml:space="preserve">The AICCM does not contain any provision on the transfer of criminal proceedings. The applicable Guidelines provide that a corresponding request should be accompanied by a copy of the judgment (No. 146(3) GICCM). This implies that criminal proceedings may still be transferred after the trial has been closed and a judgment has been delivered by the court. One might argue, however, that a transfer of criminal proceedings is no longer possible where such proceedings have been finally disposed of: If the competent court (or public prosecution office) must not continue or resume domestic criminal proceedings, they must not transfer such </w:t>
      </w:r>
      <w:r>
        <w:rPr>
          <w:lang w:val="en-GB"/>
        </w:rPr>
        <w:lastRenderedPageBreak/>
        <w:t>proceedings, either. On the other hand, the transfer of criminal proceedings is based upon Art. 21 of the European Convention on Mutual Legal Assistance (‘laying of information in connection with proceedings’). Accordingly, the transfer of proceedings is based upon an exchange of information rather than a request-based mechanism: The German ‘request’ is an equivalent to a report of a crime that triggers a criminal investigation in the receiving (‘requested’) state.</w:t>
      </w:r>
      <w:r>
        <w:rPr>
          <w:rStyle w:val="Funotenzeichen"/>
          <w:lang w:val="en-GB"/>
        </w:rPr>
        <w:footnoteReference w:id="356"/>
      </w:r>
      <w:r>
        <w:rPr>
          <w:lang w:val="en-GB"/>
        </w:rPr>
        <w:t xml:space="preserve"> </w:t>
      </w:r>
      <w:r w:rsidR="0041093A">
        <w:rPr>
          <w:lang w:val="en-GB"/>
        </w:rPr>
        <w:t xml:space="preserve">As the termination of domestic proceedings does not bar a spontaneous exchange of information (recital (11) of </w:t>
      </w:r>
      <w:r w:rsidR="0041093A">
        <w:rPr>
          <w:lang w:val="en-US"/>
        </w:rPr>
        <w:t>Regulation (EU) 2024/3011 on the transfer of proceedings in criminal matters</w:t>
      </w:r>
      <w:r w:rsidR="0041093A">
        <w:rPr>
          <w:lang w:val="en-GB"/>
        </w:rPr>
        <w:t xml:space="preserve">), a transfer of proceedings can still be triggered by spontaneous exchange of information (Art. 7 of the EU Convention on Mutual Assistance, see also </w:t>
      </w:r>
      <w:r w:rsidR="0041093A">
        <w:rPr>
          <w:i/>
          <w:lang w:val="en-GB"/>
        </w:rPr>
        <w:t xml:space="preserve">supra </w:t>
      </w:r>
      <w:r w:rsidR="0041093A">
        <w:rPr>
          <w:lang w:val="en-GB"/>
        </w:rPr>
        <w:t>3.2.(a)).</w:t>
      </w:r>
      <w:r>
        <w:rPr>
          <w:lang w:val="en-GB"/>
        </w:rPr>
        <w:t xml:space="preserve"> This view finds support in the fact that the Guidelines on International Cooperation in Criminal Matters expressly recommend a transfer of proceedings where a request for the enforcement of the sentence is not appropriate (No. 145(2) GICCM).</w:t>
      </w:r>
      <w:r w:rsidR="000B064C">
        <w:rPr>
          <w:lang w:val="en-GB"/>
        </w:rPr>
        <w:t xml:space="preserve"> In such cases, it might be the better option for the convicted person to surrender to the authorities of the sentencing state and to serve the sentence in that Member State.</w:t>
      </w:r>
      <w:r w:rsidR="000B064C">
        <w:rPr>
          <w:rStyle w:val="Funotenzeichen"/>
          <w:lang w:val="en-GB"/>
        </w:rPr>
        <w:footnoteReference w:id="357"/>
      </w:r>
    </w:p>
    <w:p w14:paraId="29ECCFDA" w14:textId="77777777" w:rsidR="00A26A27" w:rsidRPr="00972DDE" w:rsidRDefault="00A26A27" w:rsidP="00972DDE">
      <w:pPr>
        <w:spacing w:line="360" w:lineRule="auto"/>
        <w:jc w:val="both"/>
        <w:rPr>
          <w:lang w:val="en-GB"/>
        </w:rPr>
      </w:pPr>
    </w:p>
    <w:p w14:paraId="4CA8CCA3" w14:textId="77777777" w:rsidR="00006663" w:rsidRPr="00353C2A" w:rsidRDefault="00006663" w:rsidP="00777A20">
      <w:pPr>
        <w:spacing w:line="360" w:lineRule="auto"/>
        <w:ind w:left="1843"/>
        <w:jc w:val="both"/>
        <w:rPr>
          <w:lang w:val="en-GB"/>
        </w:rPr>
      </w:pPr>
      <w:r w:rsidRPr="00353C2A">
        <w:rPr>
          <w:lang w:val="en-GB"/>
        </w:rPr>
        <w:t>(ff) enforcement in issuing MS</w:t>
      </w:r>
    </w:p>
    <w:p w14:paraId="02BF70C5" w14:textId="77777777" w:rsidR="00006663" w:rsidRPr="00006663" w:rsidRDefault="00006663" w:rsidP="00777A20">
      <w:pPr>
        <w:pStyle w:val="Listenabsatz"/>
        <w:numPr>
          <w:ilvl w:val="0"/>
          <w:numId w:val="36"/>
        </w:numPr>
        <w:spacing w:line="360" w:lineRule="auto"/>
        <w:ind w:left="2410" w:hanging="142"/>
        <w:jc w:val="both"/>
        <w:rPr>
          <w:color w:val="000000" w:themeColor="text1"/>
          <w:lang w:val="en-GB"/>
        </w:rPr>
      </w:pPr>
      <w:r w:rsidRPr="00006663">
        <w:rPr>
          <w:color w:val="000000" w:themeColor="text1"/>
          <w:lang w:val="en-GB"/>
        </w:rPr>
        <w:t>FD 2002/584/JHA</w:t>
      </w:r>
    </w:p>
    <w:p w14:paraId="0555EA18" w14:textId="77777777" w:rsidR="00006663" w:rsidRPr="00353C2A" w:rsidRDefault="00006663" w:rsidP="00777A20">
      <w:pPr>
        <w:spacing w:line="360" w:lineRule="auto"/>
        <w:ind w:left="2268"/>
        <w:jc w:val="both"/>
        <w:rPr>
          <w:color w:val="FF0000"/>
          <w:lang w:val="en-GB"/>
        </w:rPr>
      </w:pPr>
      <w:r w:rsidRPr="00353C2A">
        <w:rPr>
          <w:color w:val="FF0000"/>
          <w:lang w:val="en-GB"/>
        </w:rPr>
        <w:t xml:space="preserve">Execution-EAW with regard to a custodial sentence </w:t>
      </w:r>
    </w:p>
    <w:p w14:paraId="0AA42C89" w14:textId="347F30DD" w:rsidR="007C13B4" w:rsidRDefault="00BB4D3E" w:rsidP="007C13B4">
      <w:pPr>
        <w:spacing w:line="360" w:lineRule="auto"/>
        <w:jc w:val="both"/>
        <w:rPr>
          <w:lang w:val="en-GB"/>
        </w:rPr>
      </w:pPr>
      <w:r>
        <w:rPr>
          <w:lang w:val="en-GB"/>
        </w:rPr>
        <w:t>A</w:t>
      </w:r>
      <w:r w:rsidR="00127DD2">
        <w:rPr>
          <w:lang w:val="en-GB"/>
        </w:rPr>
        <w:t>n</w:t>
      </w:r>
      <w:r>
        <w:rPr>
          <w:lang w:val="en-GB"/>
        </w:rPr>
        <w:t xml:space="preserve"> EAW for the purpose of enforcement </w:t>
      </w:r>
      <w:r w:rsidR="000F7349">
        <w:rPr>
          <w:lang w:val="en-GB"/>
        </w:rPr>
        <w:t xml:space="preserve">requires a national arrest warrant. The enforcing authority (the public prosecutor) may issue such a warrant </w:t>
      </w:r>
      <w:r w:rsidR="000F7349" w:rsidRPr="000F7349">
        <w:rPr>
          <w:lang w:val="en-GB"/>
        </w:rPr>
        <w:t>if the convicted person, after being summoned to commence the sentence, has not appeared</w:t>
      </w:r>
      <w:r w:rsidR="000F7349">
        <w:rPr>
          <w:lang w:val="en-GB"/>
        </w:rPr>
        <w:t xml:space="preserve">, if he </w:t>
      </w:r>
      <w:r w:rsidR="000F7349" w:rsidRPr="000F7349">
        <w:rPr>
          <w:lang w:val="en-GB"/>
        </w:rPr>
        <w:t>is suspected of having absconded</w:t>
      </w:r>
      <w:r w:rsidR="000F7349">
        <w:rPr>
          <w:lang w:val="en-GB"/>
        </w:rPr>
        <w:t xml:space="preserve"> or if </w:t>
      </w:r>
      <w:r w:rsidR="000F7349" w:rsidRPr="000F7349">
        <w:rPr>
          <w:lang w:val="en-GB"/>
        </w:rPr>
        <w:t>a prisoner escapes or otherwise evades serving the sentence</w:t>
      </w:r>
      <w:r w:rsidR="000F7349">
        <w:rPr>
          <w:lang w:val="en-GB"/>
        </w:rPr>
        <w:t xml:space="preserve"> (section 457(2) CCP)</w:t>
      </w:r>
      <w:r w:rsidR="000F7349" w:rsidRPr="000F7349">
        <w:rPr>
          <w:lang w:val="en-GB"/>
        </w:rPr>
        <w:t>.</w:t>
      </w:r>
    </w:p>
    <w:p w14:paraId="4C025ADC" w14:textId="0F7D13EA" w:rsidR="00006663" w:rsidRDefault="00B512DC" w:rsidP="007C13B4">
      <w:pPr>
        <w:spacing w:line="360" w:lineRule="auto"/>
        <w:jc w:val="both"/>
        <w:rPr>
          <w:lang w:val="en-GB"/>
        </w:rPr>
      </w:pPr>
      <w:r>
        <w:rPr>
          <w:lang w:val="en-GB"/>
        </w:rPr>
        <w:t>On the basis of a (national) arrest warrant for enforcement of a custodial sentence, the public prosecutor may apply to the court for issuing a</w:t>
      </w:r>
      <w:r w:rsidR="00127DD2">
        <w:rPr>
          <w:lang w:val="en-GB"/>
        </w:rPr>
        <w:t>n</w:t>
      </w:r>
      <w:r>
        <w:rPr>
          <w:lang w:val="en-GB"/>
        </w:rPr>
        <w:t xml:space="preserve"> EAW</w:t>
      </w:r>
      <w:r w:rsidR="00BB4D3E">
        <w:rPr>
          <w:lang w:val="en-GB"/>
        </w:rPr>
        <w:t xml:space="preserve"> if </w:t>
      </w:r>
      <w:r w:rsidR="00BB4D3E" w:rsidRPr="0033147B">
        <w:rPr>
          <w:lang w:val="en-GB"/>
        </w:rPr>
        <w:t xml:space="preserve">a </w:t>
      </w:r>
      <w:r w:rsidRPr="0033147B">
        <w:rPr>
          <w:lang w:val="en-GB"/>
        </w:rPr>
        <w:t>custodial sentence</w:t>
      </w:r>
      <w:r w:rsidR="00BB4D3E" w:rsidRPr="0033147B">
        <w:rPr>
          <w:lang w:val="en-GB"/>
        </w:rPr>
        <w:t xml:space="preserve"> of no less than four months is to be enforced</w:t>
      </w:r>
      <w:r w:rsidR="00BB4D3E">
        <w:rPr>
          <w:lang w:val="en-GB"/>
        </w:rPr>
        <w:t xml:space="preserve"> </w:t>
      </w:r>
      <w:r w:rsidR="000F7349">
        <w:rPr>
          <w:lang w:val="en-GB"/>
        </w:rPr>
        <w:t xml:space="preserve">(Art. 2(1) FD 2002/584/JHA; see also for incoming EAW’s section 81 No. 2 AICCM). In Germany, this minimum threshold is considered too low; instead, </w:t>
      </w:r>
      <w:r w:rsidR="00BD7CD3">
        <w:rPr>
          <w:lang w:val="en-GB"/>
        </w:rPr>
        <w:t xml:space="preserve">in practice </w:t>
      </w:r>
      <w:r w:rsidR="000F7349">
        <w:rPr>
          <w:lang w:val="en-GB"/>
        </w:rPr>
        <w:t>public prosecutors apply a threshold of seven or even ten months</w:t>
      </w:r>
      <w:r w:rsidR="00F2669B">
        <w:rPr>
          <w:lang w:val="en-GB"/>
        </w:rPr>
        <w:t>,</w:t>
      </w:r>
      <w:r w:rsidR="000F3393">
        <w:rPr>
          <w:lang w:val="en-GB"/>
        </w:rPr>
        <w:t xml:space="preserve"> </w:t>
      </w:r>
      <w:r w:rsidR="00BD7CD3">
        <w:rPr>
          <w:lang w:val="en-GB"/>
        </w:rPr>
        <w:t>irrespective of a</w:t>
      </w:r>
      <w:r w:rsidR="00230443">
        <w:rPr>
          <w:lang w:val="en-GB"/>
        </w:rPr>
        <w:t>n express threshold determined by law</w:t>
      </w:r>
      <w:r w:rsidR="00BD7CD3">
        <w:rPr>
          <w:lang w:val="en-GB"/>
        </w:rPr>
        <w:t>.</w:t>
      </w:r>
      <w:r w:rsidR="000F7349">
        <w:rPr>
          <w:rStyle w:val="Funotenzeichen"/>
          <w:lang w:val="en-GB"/>
        </w:rPr>
        <w:footnoteReference w:id="358"/>
      </w:r>
      <w:r w:rsidR="00FA7A04">
        <w:rPr>
          <w:lang w:val="en-GB"/>
        </w:rPr>
        <w:t xml:space="preserve"> If this threshold is not met, the transfer of enforcement under FD 2008/909/JHA </w:t>
      </w:r>
      <w:r w:rsidR="00262F0F">
        <w:rPr>
          <w:lang w:val="en-GB"/>
        </w:rPr>
        <w:t>might</w:t>
      </w:r>
      <w:r w:rsidR="00FA7A04">
        <w:rPr>
          <w:lang w:val="en-GB"/>
        </w:rPr>
        <w:t xml:space="preserve"> be an alternative</w:t>
      </w:r>
      <w:r w:rsidR="002100C3">
        <w:rPr>
          <w:lang w:val="en-GB"/>
        </w:rPr>
        <w:t xml:space="preserve">, unless the executing Member State applies </w:t>
      </w:r>
      <w:r w:rsidR="002100C3">
        <w:rPr>
          <w:lang w:val="en-GB"/>
        </w:rPr>
        <w:lastRenderedPageBreak/>
        <w:t>Art. 9(1)(h) of FD 2008/909</w:t>
      </w:r>
      <w:r w:rsidR="00CE1256">
        <w:rPr>
          <w:lang w:val="en-GB"/>
        </w:rPr>
        <w:t>/JHA</w:t>
      </w:r>
      <w:r w:rsidR="00371E1E">
        <w:rPr>
          <w:lang w:val="en-GB"/>
        </w:rPr>
        <w:t>, which was implemented in German law as an optional ground for refusal (‘</w:t>
      </w:r>
      <w:r w:rsidR="00371E1E" w:rsidRPr="00184676">
        <w:rPr>
          <w:lang w:val="en-GB"/>
        </w:rPr>
        <w:t>Bewilligungshindernis</w:t>
      </w:r>
      <w:r w:rsidR="00371E1E">
        <w:rPr>
          <w:lang w:val="en-GB"/>
        </w:rPr>
        <w:t>’ - section 84d No. 4 AICCM)</w:t>
      </w:r>
      <w:r w:rsidR="00FA7A04">
        <w:rPr>
          <w:lang w:val="en-GB"/>
        </w:rPr>
        <w:t>.</w:t>
      </w:r>
    </w:p>
    <w:p w14:paraId="01DCECDA" w14:textId="77777777" w:rsidR="00BB4D3E" w:rsidRDefault="00BB4D3E" w:rsidP="00777A20">
      <w:pPr>
        <w:spacing w:after="160" w:line="259" w:lineRule="auto"/>
        <w:jc w:val="both"/>
        <w:rPr>
          <w:lang w:val="en-GB"/>
        </w:rPr>
      </w:pPr>
    </w:p>
    <w:p w14:paraId="116486FA" w14:textId="6F6DDB49" w:rsidR="00006663" w:rsidRDefault="00006663" w:rsidP="00777A20">
      <w:pPr>
        <w:pStyle w:val="berschrift1"/>
        <w:rPr>
          <w:lang w:val="en-GB"/>
        </w:rPr>
      </w:pPr>
      <w:bookmarkStart w:id="238" w:name="_Toc147328931"/>
      <w:bookmarkStart w:id="239" w:name="_Toc147328997"/>
      <w:bookmarkStart w:id="240" w:name="_Toc147329109"/>
      <w:bookmarkStart w:id="241" w:name="_Toc170228539"/>
      <w:r>
        <w:rPr>
          <w:lang w:val="en-GB"/>
        </w:rPr>
        <w:t>Anticipating the application of instruments</w:t>
      </w:r>
      <w:bookmarkEnd w:id="238"/>
      <w:bookmarkEnd w:id="239"/>
      <w:bookmarkEnd w:id="240"/>
      <w:r w:rsidR="00F408AB">
        <w:rPr>
          <w:lang w:val="en-GB"/>
        </w:rPr>
        <w:t>: sentencing</w:t>
      </w:r>
      <w:bookmarkEnd w:id="241"/>
    </w:p>
    <w:p w14:paraId="05291EF7" w14:textId="38539243" w:rsidR="005F5AF1" w:rsidRPr="005E505E" w:rsidRDefault="005F5AF1" w:rsidP="00777A20">
      <w:pPr>
        <w:spacing w:line="360" w:lineRule="auto"/>
        <w:jc w:val="both"/>
        <w:rPr>
          <w:color w:val="FF0000"/>
          <w:lang w:val="en-GB"/>
        </w:rPr>
      </w:pPr>
      <w:r w:rsidRPr="005E505E">
        <w:rPr>
          <w:color w:val="FF0000"/>
          <w:lang w:val="en-GB"/>
        </w:rPr>
        <w:t>This Chapter is the odd one out. It concerns a stage in which cooperation is</w:t>
      </w:r>
      <w:r w:rsidR="00FE01BD">
        <w:rPr>
          <w:color w:val="FF0000"/>
          <w:lang w:val="en-GB"/>
        </w:rPr>
        <w:t xml:space="preserve"> </w:t>
      </w:r>
      <w:r w:rsidRPr="005E505E">
        <w:rPr>
          <w:color w:val="FF0000"/>
          <w:lang w:val="en-GB"/>
        </w:rPr>
        <w:t xml:space="preserve">not </w:t>
      </w:r>
      <w:r w:rsidR="009C1EA7">
        <w:rPr>
          <w:color w:val="FF0000"/>
          <w:lang w:val="en-GB"/>
        </w:rPr>
        <w:t xml:space="preserve">yet </w:t>
      </w:r>
      <w:r w:rsidRPr="005E505E">
        <w:rPr>
          <w:color w:val="FF0000"/>
          <w:lang w:val="en-GB"/>
        </w:rPr>
        <w:t xml:space="preserve">necessary. However, at the sentencing stage decisions will be made that subsequently will lead to a need for cooperation, either automatically or on the basis of a specific decision. Unlike the previous two chapters, the focus is on a stage of criminal proceedings in which there is no need for judicial cooperation yet and, therefore, no need for the application of instruments yet: the sentencing stage (the determination by a court of the sentence to be imposed on an accused person who has been found guilty of the offence he was charged with). </w:t>
      </w:r>
    </w:p>
    <w:p w14:paraId="1595A0BB" w14:textId="77777777" w:rsidR="005F5AF1" w:rsidRPr="005E505E" w:rsidRDefault="005F5AF1" w:rsidP="00777A20">
      <w:pPr>
        <w:spacing w:line="360" w:lineRule="auto"/>
        <w:jc w:val="both"/>
        <w:rPr>
          <w:color w:val="FF0000"/>
          <w:lang w:val="en-GB"/>
        </w:rPr>
      </w:pPr>
    </w:p>
    <w:p w14:paraId="2843E5D9" w14:textId="1684BB93" w:rsidR="005F5AF1" w:rsidRPr="005E505E" w:rsidRDefault="005F5AF1" w:rsidP="00777A20">
      <w:pPr>
        <w:spacing w:line="360" w:lineRule="auto"/>
        <w:jc w:val="both"/>
        <w:rPr>
          <w:color w:val="FF0000"/>
          <w:lang w:val="en-GB"/>
        </w:rPr>
      </w:pPr>
      <w:r w:rsidRPr="005E505E">
        <w:rPr>
          <w:color w:val="FF0000"/>
          <w:lang w:val="en-GB"/>
        </w:rPr>
        <w:t>The object of this chapter is to establish whether in sentencing an accused person who is a national of another Member State or who resides in another Member State</w:t>
      </w:r>
      <w:r w:rsidR="00FE01BD">
        <w:rPr>
          <w:color w:val="FF0000"/>
          <w:lang w:val="en-GB"/>
        </w:rPr>
        <w:t>,</w:t>
      </w:r>
      <w:r w:rsidRPr="005E505E">
        <w:rPr>
          <w:color w:val="FF0000"/>
          <w:lang w:val="en-GB"/>
        </w:rPr>
        <w:t xml:space="preserve"> judges take into account the (im)possibilities of judicial cooperation with regard to enforcement of that sentence, should the need arise. In other words, whether in sentencing judges anticipate possible needs and problems related to judicial cooperation</w:t>
      </w:r>
      <w:r w:rsidR="006120BE">
        <w:rPr>
          <w:color w:val="FF0000"/>
          <w:lang w:val="en-GB"/>
        </w:rPr>
        <w:t>,</w:t>
      </w:r>
      <w:r w:rsidRPr="005E505E">
        <w:rPr>
          <w:color w:val="FF0000"/>
          <w:vertAlign w:val="superscript"/>
          <w:lang w:val="en-GB"/>
        </w:rPr>
        <w:footnoteReference w:id="359"/>
      </w:r>
      <w:r w:rsidRPr="005E505E">
        <w:rPr>
          <w:color w:val="FF0000"/>
          <w:lang w:val="en-GB"/>
        </w:rPr>
        <w:t xml:space="preserve"> </w:t>
      </w:r>
      <w:r w:rsidR="006120BE">
        <w:rPr>
          <w:color w:val="FF0000"/>
          <w:lang w:val="en-GB"/>
        </w:rPr>
        <w:t xml:space="preserve">as well as whether national </w:t>
      </w:r>
      <w:r w:rsidR="00223A68">
        <w:rPr>
          <w:color w:val="FF0000"/>
          <w:lang w:val="en-GB"/>
        </w:rPr>
        <w:t xml:space="preserve">law </w:t>
      </w:r>
      <w:r w:rsidR="006120BE">
        <w:rPr>
          <w:color w:val="FF0000"/>
          <w:lang w:val="en-GB"/>
        </w:rPr>
        <w:t>allows them to do so.</w:t>
      </w:r>
    </w:p>
    <w:p w14:paraId="4FD58D59" w14:textId="77777777" w:rsidR="005F5AF1" w:rsidRPr="005E505E" w:rsidRDefault="005F5AF1" w:rsidP="00777A20">
      <w:pPr>
        <w:spacing w:line="360" w:lineRule="auto"/>
        <w:jc w:val="both"/>
        <w:rPr>
          <w:color w:val="FF0000"/>
          <w:lang w:val="en-GB"/>
        </w:rPr>
      </w:pPr>
    </w:p>
    <w:p w14:paraId="6261844F" w14:textId="62D5F74C" w:rsidR="005F5AF1" w:rsidRPr="005E505E" w:rsidRDefault="005F5AF1" w:rsidP="00777A20">
      <w:pPr>
        <w:spacing w:line="360" w:lineRule="auto"/>
        <w:jc w:val="both"/>
        <w:rPr>
          <w:color w:val="FF0000"/>
          <w:lang w:val="en-GB"/>
        </w:rPr>
      </w:pPr>
      <w:r w:rsidRPr="005E505E">
        <w:rPr>
          <w:color w:val="FF0000"/>
          <w:lang w:val="en-GB"/>
        </w:rPr>
        <w:t>At least two issues are of interest here:</w:t>
      </w:r>
      <w:r w:rsidRPr="005E505E">
        <w:rPr>
          <w:color w:val="FF0000"/>
          <w:vertAlign w:val="superscript"/>
          <w:lang w:val="en-GB"/>
        </w:rPr>
        <w:footnoteReference w:id="360"/>
      </w:r>
    </w:p>
    <w:p w14:paraId="56197BD2" w14:textId="77777777" w:rsidR="00F363AF" w:rsidRDefault="006709CA" w:rsidP="00B83785">
      <w:pPr>
        <w:pStyle w:val="Listenabsatz"/>
        <w:numPr>
          <w:ilvl w:val="0"/>
          <w:numId w:val="36"/>
        </w:numPr>
        <w:spacing w:line="360" w:lineRule="auto"/>
        <w:jc w:val="both"/>
        <w:rPr>
          <w:color w:val="FF0000"/>
          <w:lang w:val="en-GB"/>
        </w:rPr>
      </w:pPr>
      <w:r w:rsidRPr="00061D9A">
        <w:rPr>
          <w:i/>
          <w:iCs/>
          <w:color w:val="FF0000"/>
          <w:lang w:val="en-GB"/>
        </w:rPr>
        <w:t>C</w:t>
      </w:r>
      <w:r w:rsidR="005F5AF1" w:rsidRPr="00061D9A">
        <w:rPr>
          <w:i/>
          <w:iCs/>
          <w:color w:val="FF0000"/>
          <w:lang w:val="en-GB"/>
        </w:rPr>
        <w:t>onditional</w:t>
      </w:r>
      <w:r>
        <w:rPr>
          <w:i/>
          <w:iCs/>
          <w:color w:val="FF0000"/>
          <w:lang w:val="en-GB"/>
        </w:rPr>
        <w:t xml:space="preserve"> sentences </w:t>
      </w:r>
      <w:r w:rsidRPr="00777A20">
        <w:rPr>
          <w:color w:val="FF0000"/>
          <w:lang w:val="en-GB"/>
        </w:rPr>
        <w:t xml:space="preserve">and </w:t>
      </w:r>
      <w:r>
        <w:rPr>
          <w:i/>
          <w:iCs/>
          <w:color w:val="FF0000"/>
          <w:lang w:val="en-GB"/>
        </w:rPr>
        <w:t>probation decisions</w:t>
      </w:r>
      <w:r w:rsidRPr="00777A20">
        <w:rPr>
          <w:rStyle w:val="Funotenzeichen"/>
          <w:color w:val="FF0000"/>
          <w:lang w:val="en-GB"/>
        </w:rPr>
        <w:footnoteReference w:id="361"/>
      </w:r>
      <w:r w:rsidR="005F5AF1" w:rsidRPr="00061D9A">
        <w:rPr>
          <w:color w:val="FF0000"/>
          <w:lang w:val="en-GB"/>
        </w:rPr>
        <w:t xml:space="preserve"> and </w:t>
      </w:r>
      <w:r w:rsidR="005F5AF1" w:rsidRPr="00061D9A">
        <w:rPr>
          <w:i/>
          <w:iCs/>
          <w:color w:val="FF0000"/>
          <w:lang w:val="en-GB"/>
        </w:rPr>
        <w:t>alternative</w:t>
      </w:r>
      <w:r w:rsidR="005F5AF1" w:rsidRPr="00061D9A">
        <w:rPr>
          <w:color w:val="FF0000"/>
          <w:lang w:val="en-GB"/>
        </w:rPr>
        <w:t xml:space="preserve"> sanctions.</w:t>
      </w:r>
      <w:r>
        <w:rPr>
          <w:rStyle w:val="Funotenzeichen"/>
          <w:color w:val="FF0000"/>
          <w:lang w:val="en-GB"/>
        </w:rPr>
        <w:footnoteReference w:id="362"/>
      </w:r>
      <w:r w:rsidR="005F5AF1" w:rsidRPr="00061D9A">
        <w:rPr>
          <w:color w:val="FF0000"/>
          <w:lang w:val="en-GB"/>
        </w:rPr>
        <w:t xml:space="preserve"> Is the fact that the accused person resides in another Member State a factor in determining whether to impose a specific sanction, especially if a person residing in the issuing Member State would receive a similar sanction for comparable </w:t>
      </w:r>
      <w:r w:rsidR="003577A5">
        <w:rPr>
          <w:color w:val="FF0000"/>
          <w:lang w:val="en-GB"/>
        </w:rPr>
        <w:t>offences</w:t>
      </w:r>
      <w:r w:rsidR="005F5AF1" w:rsidRPr="00061D9A">
        <w:rPr>
          <w:color w:val="FF0000"/>
          <w:lang w:val="en-GB"/>
        </w:rPr>
        <w:t>?</w:t>
      </w:r>
      <w:r w:rsidR="005F5AF1" w:rsidRPr="00B83785" w:rsidDel="0006167D">
        <w:rPr>
          <w:color w:val="FF0000"/>
          <w:lang w:val="en-GB"/>
        </w:rPr>
        <w:t xml:space="preserve"> </w:t>
      </w:r>
    </w:p>
    <w:p w14:paraId="78F4ADED" w14:textId="4CB2E48A" w:rsidR="00F363AF" w:rsidRDefault="00F363AF" w:rsidP="00F363AF">
      <w:pPr>
        <w:spacing w:after="160" w:line="360" w:lineRule="auto"/>
        <w:jc w:val="both"/>
        <w:rPr>
          <w:lang w:val="en-US"/>
        </w:rPr>
      </w:pPr>
      <w:r w:rsidRPr="00493E5C">
        <w:rPr>
          <w:lang w:val="en-US"/>
        </w:rPr>
        <w:t>The fact that the convicted person</w:t>
      </w:r>
      <w:r>
        <w:rPr>
          <w:lang w:val="en-US"/>
        </w:rPr>
        <w:t xml:space="preserve"> resides abroad has given rise to concerns that a criminal sentence is either not suspended on probation or that the suspension of enforcement will not be supplemented by probation measures because a supervision of such measures will be practically impossible.</w:t>
      </w:r>
      <w:r>
        <w:rPr>
          <w:rStyle w:val="Funotenzeichen"/>
          <w:lang w:val="en-US"/>
        </w:rPr>
        <w:footnoteReference w:id="363"/>
      </w:r>
      <w:r>
        <w:rPr>
          <w:lang w:val="en-US"/>
        </w:rPr>
        <w:t xml:space="preserve"> According to the Federal Court of Justice, however, practical </w:t>
      </w:r>
      <w:r>
        <w:rPr>
          <w:lang w:val="en-US"/>
        </w:rPr>
        <w:lastRenderedPageBreak/>
        <w:t>difficulties i</w:t>
      </w:r>
      <w:r w:rsidRPr="009B0D25">
        <w:rPr>
          <w:lang w:val="en-US"/>
        </w:rPr>
        <w:t>n supervising</w:t>
      </w:r>
      <w:r>
        <w:rPr>
          <w:lang w:val="en-US"/>
        </w:rPr>
        <w:t xml:space="preserve"> probation measures abroad do not establish sufficient reason not to suspend the enforcement of a custodial sentence where the conditions for a suspension are met.</w:t>
      </w:r>
      <w:r>
        <w:rPr>
          <w:rStyle w:val="Funotenzeichen"/>
          <w:lang w:val="en-US"/>
        </w:rPr>
        <w:footnoteReference w:id="364"/>
      </w:r>
      <w:r>
        <w:rPr>
          <w:lang w:val="en-US"/>
        </w:rPr>
        <w:t xml:space="preserve"> </w:t>
      </w:r>
      <w:r w:rsidR="004D6978">
        <w:rPr>
          <w:lang w:val="en-US"/>
        </w:rPr>
        <w:t>This view is confirmed by the interview with a judge.</w:t>
      </w:r>
      <w:r w:rsidR="004D6978">
        <w:rPr>
          <w:rStyle w:val="Funotenzeichen"/>
          <w:lang w:val="en-US"/>
        </w:rPr>
        <w:footnoteReference w:id="365"/>
      </w:r>
      <w:r w:rsidR="004D6978">
        <w:rPr>
          <w:lang w:val="en-US"/>
        </w:rPr>
        <w:t xml:space="preserve"> </w:t>
      </w:r>
      <w:r>
        <w:rPr>
          <w:lang w:val="en-US"/>
        </w:rPr>
        <w:t>Instead, German authorities are obliged to ensure that the convicted person complies with probation measures and, if necessary, to use the existing cooperation instruments for supervision such as FD 2008/947/JHA.</w:t>
      </w:r>
      <w:r>
        <w:rPr>
          <w:rStyle w:val="Funotenzeichen"/>
          <w:lang w:val="en-US"/>
        </w:rPr>
        <w:footnoteReference w:id="366"/>
      </w:r>
    </w:p>
    <w:p w14:paraId="548340E5" w14:textId="05F661AC" w:rsidR="00893678" w:rsidRDefault="00893678" w:rsidP="00F363AF">
      <w:pPr>
        <w:spacing w:after="160" w:line="360" w:lineRule="auto"/>
        <w:jc w:val="both"/>
        <w:rPr>
          <w:lang w:val="en-US"/>
        </w:rPr>
      </w:pPr>
      <w:r>
        <w:rPr>
          <w:lang w:val="en-US"/>
        </w:rPr>
        <w:t>In practice, however, courts do not impose conditions or instructions they cannot supervise.</w:t>
      </w:r>
      <w:r>
        <w:rPr>
          <w:rStyle w:val="Funotenzeichen"/>
          <w:lang w:val="en-US"/>
        </w:rPr>
        <w:footnoteReference w:id="367"/>
      </w:r>
      <w:r>
        <w:rPr>
          <w:lang w:val="en-US"/>
        </w:rPr>
        <w:t xml:space="preserve"> According to a defence lawyer, if the convicted person has left the country, German authorities might have less interest in preventing him from committing further crimes.</w:t>
      </w:r>
      <w:r>
        <w:rPr>
          <w:rStyle w:val="Funotenzeichen"/>
          <w:lang w:val="en-US"/>
        </w:rPr>
        <w:footnoteReference w:id="368"/>
      </w:r>
    </w:p>
    <w:p w14:paraId="5EAC3EB7" w14:textId="77777777" w:rsidR="00F363AF" w:rsidRDefault="00F363AF" w:rsidP="00F363AF">
      <w:pPr>
        <w:spacing w:after="160" w:line="360" w:lineRule="auto"/>
        <w:jc w:val="both"/>
        <w:rPr>
          <w:kern w:val="2"/>
          <w:lang w:val="en-GB"/>
          <w14:ligatures w14:val="standardContextual"/>
        </w:rPr>
      </w:pPr>
      <w:r>
        <w:rPr>
          <w:kern w:val="2"/>
          <w:lang w:val="en-GB"/>
          <w14:ligatures w14:val="standardContextual"/>
        </w:rPr>
        <w:t xml:space="preserve">In contrast, problems related to cross-border supervision may be relevant where alternative sanctions do not fall within the scope of the German provisions implementing FD 2008/947/JHA such as the postponement of enforcement (section 35 NA, </w:t>
      </w:r>
      <w:r>
        <w:rPr>
          <w:i/>
          <w:kern w:val="2"/>
          <w:lang w:val="en-GB"/>
          <w14:ligatures w14:val="standardContextual"/>
        </w:rPr>
        <w:t xml:space="preserve">supra </w:t>
      </w:r>
      <w:r>
        <w:rPr>
          <w:kern w:val="2"/>
          <w:lang w:val="en-GB"/>
          <w14:ligatures w14:val="standardContextual"/>
        </w:rPr>
        <w:t>1.1.). According to the prevailing opinion, the enforcement of the sentence must not be postponed if the convicted person undergoes a therapy abroad where an effective supervision cannot be ensured.</w:t>
      </w:r>
      <w:r>
        <w:rPr>
          <w:rStyle w:val="Funotenzeichen"/>
          <w:kern w:val="2"/>
          <w:lang w:val="en-GB"/>
          <w14:ligatures w14:val="standardContextual"/>
        </w:rPr>
        <w:footnoteReference w:id="369"/>
      </w:r>
      <w:r>
        <w:rPr>
          <w:kern w:val="2"/>
          <w:lang w:val="en-GB"/>
          <w14:ligatures w14:val="standardContextual"/>
        </w:rPr>
        <w:t xml:space="preserve"> Nevertheless, courts have granted postponement on the basis of a case-by-case assessment, referring to the close cooperation within the Union.</w:t>
      </w:r>
      <w:r>
        <w:rPr>
          <w:rStyle w:val="Funotenzeichen"/>
          <w:kern w:val="2"/>
          <w:lang w:val="en-GB"/>
          <w14:ligatures w14:val="standardContextual"/>
        </w:rPr>
        <w:footnoteReference w:id="370"/>
      </w:r>
    </w:p>
    <w:p w14:paraId="5882B9AE" w14:textId="2AAFF9DD" w:rsidR="005F5AF1" w:rsidRPr="00F363AF" w:rsidRDefault="005F5AF1" w:rsidP="00F363AF">
      <w:pPr>
        <w:spacing w:line="360" w:lineRule="auto"/>
        <w:jc w:val="both"/>
        <w:rPr>
          <w:color w:val="FF0000"/>
          <w:lang w:val="en-GB"/>
        </w:rPr>
      </w:pPr>
    </w:p>
    <w:p w14:paraId="13C63E32" w14:textId="77777777" w:rsidR="00B83785" w:rsidRDefault="005F5AF1" w:rsidP="00777A20">
      <w:pPr>
        <w:pStyle w:val="Listenabsatz"/>
        <w:numPr>
          <w:ilvl w:val="0"/>
          <w:numId w:val="36"/>
        </w:numPr>
        <w:spacing w:after="160" w:line="360" w:lineRule="auto"/>
        <w:jc w:val="both"/>
        <w:rPr>
          <w:color w:val="FF0000"/>
          <w:lang w:val="en-GB"/>
        </w:rPr>
      </w:pPr>
      <w:r w:rsidRPr="00061D9A">
        <w:rPr>
          <w:i/>
          <w:iCs/>
          <w:color w:val="FF0000"/>
          <w:lang w:val="en-GB"/>
        </w:rPr>
        <w:t>composite</w:t>
      </w:r>
      <w:r w:rsidRPr="00061D9A">
        <w:rPr>
          <w:color w:val="FF0000"/>
          <w:lang w:val="en-GB"/>
        </w:rPr>
        <w:t xml:space="preserve"> sentences (see the introduction to Chapter 3). Does the fact that such sentences are governed by two different judicial cooperation regimes – and, consequently, that enforcing such sentences in another Member State may cause difficulties – play a role in deciding whether or not to impose such a sentence?</w:t>
      </w:r>
    </w:p>
    <w:p w14:paraId="2130868B" w14:textId="6392F219" w:rsidR="00D37501" w:rsidRDefault="00DB46C6" w:rsidP="00B83785">
      <w:pPr>
        <w:spacing w:after="160" w:line="360" w:lineRule="auto"/>
        <w:jc w:val="both"/>
        <w:rPr>
          <w:lang w:val="en-US"/>
        </w:rPr>
      </w:pPr>
      <w:r w:rsidRPr="00DB46C6">
        <w:rPr>
          <w:lang w:val="en-US"/>
        </w:rPr>
        <w:lastRenderedPageBreak/>
        <w:t xml:space="preserve">This issue is not relevant as </w:t>
      </w:r>
      <w:r>
        <w:rPr>
          <w:lang w:val="en-US"/>
        </w:rPr>
        <w:t>the German sanctioning system does not provide for composite sentences, i.e. a combination of unconditional and conditional sentences (</w:t>
      </w:r>
      <w:r>
        <w:rPr>
          <w:i/>
          <w:lang w:val="en-US"/>
        </w:rPr>
        <w:t xml:space="preserve">supra </w:t>
      </w:r>
      <w:r>
        <w:rPr>
          <w:lang w:val="en-US"/>
        </w:rPr>
        <w:t>3.1.)</w:t>
      </w:r>
    </w:p>
    <w:p w14:paraId="699381A9" w14:textId="20AB9FC9" w:rsidR="00535C0E" w:rsidRDefault="00DB46C6" w:rsidP="00B83785">
      <w:pPr>
        <w:spacing w:after="160" w:line="360" w:lineRule="auto"/>
        <w:jc w:val="both"/>
        <w:rPr>
          <w:lang w:val="en-US"/>
        </w:rPr>
      </w:pPr>
      <w:r>
        <w:rPr>
          <w:lang w:val="en-US"/>
        </w:rPr>
        <w:t xml:space="preserve">In general, difficulties and problems related to transnational enforcement are not relevant, at least not mentioned among the criteria relevant for sentencing (see the </w:t>
      </w:r>
      <w:r w:rsidR="00535C0E">
        <w:rPr>
          <w:lang w:val="en-US"/>
        </w:rPr>
        <w:t>general rule in section 46 CC). So, this factor is not taken into account.</w:t>
      </w:r>
      <w:r w:rsidR="00535C0E">
        <w:rPr>
          <w:rStyle w:val="Funotenzeichen"/>
          <w:lang w:val="en-US"/>
        </w:rPr>
        <w:footnoteReference w:id="371"/>
      </w:r>
    </w:p>
    <w:p w14:paraId="175EA3D1" w14:textId="60BA5EDF" w:rsidR="00DB46C6" w:rsidRDefault="00DB46C6" w:rsidP="00B83785">
      <w:pPr>
        <w:spacing w:after="160" w:line="360" w:lineRule="auto"/>
        <w:jc w:val="both"/>
        <w:rPr>
          <w:lang w:val="en-US"/>
        </w:rPr>
      </w:pPr>
      <w:r>
        <w:rPr>
          <w:lang w:val="en-US"/>
        </w:rPr>
        <w:t xml:space="preserve">Nevertheless, the offender’s sensitivity to punishment </w:t>
      </w:r>
      <w:r w:rsidR="00607AF2">
        <w:rPr>
          <w:lang w:val="en-US"/>
        </w:rPr>
        <w:t>may play a role in that respect so that the fact that the convicted person must serve a custodial sentence in a foreign country and without having regular contact to his family might be considered as a mitigating factor unless there is an option to serve the sentence in his home country.</w:t>
      </w:r>
      <w:r w:rsidR="00607AF2">
        <w:rPr>
          <w:rStyle w:val="Funotenzeichen"/>
          <w:lang w:val="en-US"/>
        </w:rPr>
        <w:footnoteReference w:id="372"/>
      </w:r>
      <w:r w:rsidR="00BA26A0">
        <w:rPr>
          <w:lang w:val="en-US"/>
        </w:rPr>
        <w:t xml:space="preserve"> This approach, however, has been criticized because the court cannot anticipate whether or not (and when) the convicted person will be transferred to his home country.</w:t>
      </w:r>
      <w:r w:rsidR="00BA26A0">
        <w:rPr>
          <w:rStyle w:val="Funotenzeichen"/>
          <w:lang w:val="en-US"/>
        </w:rPr>
        <w:footnoteReference w:id="373"/>
      </w:r>
      <w:r w:rsidR="00382611">
        <w:rPr>
          <w:lang w:val="en-US"/>
        </w:rPr>
        <w:t xml:space="preserve"> </w:t>
      </w:r>
      <w:r w:rsidR="00BA6EEF">
        <w:rPr>
          <w:lang w:val="en-US"/>
        </w:rPr>
        <w:t>In practice</w:t>
      </w:r>
      <w:r w:rsidR="00382611">
        <w:rPr>
          <w:lang w:val="en-US"/>
        </w:rPr>
        <w:t>, a negotiated agreement on the outcome of the trial may include an assurance to transfer the enforcement of the sentence to the home country of the accused person.</w:t>
      </w:r>
      <w:r w:rsidR="00382611">
        <w:rPr>
          <w:rStyle w:val="Funotenzeichen"/>
          <w:lang w:val="en-US"/>
        </w:rPr>
        <w:footnoteReference w:id="374"/>
      </w:r>
    </w:p>
    <w:p w14:paraId="47F15652" w14:textId="1486EF47" w:rsidR="00535C0E" w:rsidRPr="00493E5C" w:rsidRDefault="00535C0E" w:rsidP="00535C0E">
      <w:pPr>
        <w:spacing w:after="160" w:line="360" w:lineRule="auto"/>
        <w:jc w:val="both"/>
        <w:rPr>
          <w:lang w:val="en-US"/>
        </w:rPr>
      </w:pPr>
      <w:r>
        <w:rPr>
          <w:lang w:val="en-US"/>
        </w:rPr>
        <w:t>A convicted person with a nationality of (or a permanent residence in) another Member State enjoy</w:t>
      </w:r>
      <w:r w:rsidR="008E6FB4">
        <w:rPr>
          <w:lang w:val="en-US"/>
        </w:rPr>
        <w:t>s</w:t>
      </w:r>
      <w:r>
        <w:rPr>
          <w:lang w:val="en-US"/>
        </w:rPr>
        <w:t xml:space="preserve"> the right to equal treatment and must not be discriminated on grounds of nationality (Art. 18 TFEU); accordingly, the enforcement of the sentence is governed by the same rules.</w:t>
      </w:r>
      <w:r>
        <w:rPr>
          <w:rStyle w:val="Funotenzeichen"/>
          <w:lang w:val="en-US"/>
        </w:rPr>
        <w:footnoteReference w:id="375"/>
      </w:r>
      <w:r>
        <w:rPr>
          <w:lang w:val="en-US"/>
        </w:rPr>
        <w:t xml:space="preserve"> On the other hand, the rights of a convicted person and his interest in reintegration into society may call for a transfer of enforcement to his home country. So, the right to equal treatment refers to the enforcement regime of the sentencing state (Germany: equal treatment of German nationals and other EU citizens) and the enforcing state (equal treatment of persons convicted domestically and abroad).</w:t>
      </w:r>
      <w:r>
        <w:rPr>
          <w:rStyle w:val="Funotenzeichen"/>
          <w:lang w:val="en-US"/>
        </w:rPr>
        <w:footnoteReference w:id="376"/>
      </w:r>
    </w:p>
    <w:p w14:paraId="6AA32FEB" w14:textId="53859EE5" w:rsidR="005F5AF1" w:rsidRPr="00C127F5" w:rsidRDefault="005F5AF1" w:rsidP="00B83785">
      <w:pPr>
        <w:spacing w:after="160" w:line="360" w:lineRule="auto"/>
        <w:jc w:val="both"/>
        <w:rPr>
          <w:color w:val="FF0000"/>
          <w:lang w:val="en-US"/>
        </w:rPr>
      </w:pPr>
    </w:p>
    <w:p w14:paraId="2160DB7A" w14:textId="2D5B6768" w:rsidR="005F5AF1" w:rsidRPr="005F5AF1" w:rsidRDefault="005F5AF1" w:rsidP="00777A20">
      <w:pPr>
        <w:pStyle w:val="berschrift1"/>
        <w:rPr>
          <w:lang w:val="en-GB"/>
        </w:rPr>
      </w:pPr>
      <w:bookmarkStart w:id="242" w:name="_Toc170228540"/>
      <w:r w:rsidRPr="005F5AF1">
        <w:rPr>
          <w:lang w:val="en-GB"/>
        </w:rPr>
        <w:t xml:space="preserve">Miscellaneous: whereabouts unknown and </w:t>
      </w:r>
      <w:r w:rsidRPr="00061D9A">
        <w:rPr>
          <w:i/>
          <w:iCs/>
          <w:lang w:val="en-GB"/>
        </w:rPr>
        <w:t>in absentia</w:t>
      </w:r>
      <w:bookmarkEnd w:id="242"/>
    </w:p>
    <w:p w14:paraId="1BD08A20" w14:textId="77777777" w:rsidR="005F5AF1" w:rsidRDefault="005F5AF1" w:rsidP="00777A20">
      <w:pPr>
        <w:jc w:val="both"/>
        <w:rPr>
          <w:b/>
          <w:color w:val="FF0000"/>
          <w:lang w:val="en-GB"/>
        </w:rPr>
      </w:pPr>
    </w:p>
    <w:p w14:paraId="2A4FA6F2" w14:textId="0D1852FB" w:rsidR="005F5AF1" w:rsidRPr="00353C2A" w:rsidRDefault="005F5AF1" w:rsidP="00777A20">
      <w:pPr>
        <w:spacing w:line="360" w:lineRule="auto"/>
        <w:jc w:val="both"/>
        <w:rPr>
          <w:color w:val="FF0000"/>
          <w:lang w:val="en-GB"/>
        </w:rPr>
      </w:pPr>
      <w:r w:rsidRPr="00353C2A">
        <w:rPr>
          <w:color w:val="FF0000"/>
          <w:lang w:val="en-GB"/>
        </w:rPr>
        <w:t>This Chapter is</w:t>
      </w:r>
      <w:r>
        <w:rPr>
          <w:color w:val="FF0000"/>
          <w:lang w:val="en-GB"/>
        </w:rPr>
        <w:t xml:space="preserve"> also an</w:t>
      </w:r>
      <w:r w:rsidRPr="00353C2A">
        <w:rPr>
          <w:color w:val="FF0000"/>
          <w:lang w:val="en-GB"/>
        </w:rPr>
        <w:t xml:space="preserve"> odd one out. It concerns stages in which cooperation is not sought or in which it is not necessary</w:t>
      </w:r>
      <w:r w:rsidR="00FE01BD" w:rsidRPr="00FE01BD">
        <w:rPr>
          <w:color w:val="FF0000"/>
          <w:lang w:val="en-GB"/>
        </w:rPr>
        <w:t xml:space="preserve"> </w:t>
      </w:r>
      <w:r w:rsidR="00FE01BD" w:rsidRPr="00353C2A">
        <w:rPr>
          <w:color w:val="FF0000"/>
          <w:lang w:val="en-GB"/>
        </w:rPr>
        <w:t>yet</w:t>
      </w:r>
      <w:r w:rsidRPr="00353C2A">
        <w:rPr>
          <w:color w:val="FF0000"/>
          <w:lang w:val="en-GB"/>
        </w:rPr>
        <w:t xml:space="preserve">. When making decisions about </w:t>
      </w:r>
      <w:r>
        <w:rPr>
          <w:color w:val="FF0000"/>
          <w:lang w:val="en-GB"/>
        </w:rPr>
        <w:t xml:space="preserve">going </w:t>
      </w:r>
      <w:r w:rsidRPr="00353C2A">
        <w:rPr>
          <w:color w:val="FF0000"/>
          <w:lang w:val="en-GB"/>
        </w:rPr>
        <w:t xml:space="preserve">to trial and </w:t>
      </w:r>
      <w:r w:rsidR="003577A5">
        <w:rPr>
          <w:color w:val="FF0000"/>
          <w:lang w:val="en-GB"/>
        </w:rPr>
        <w:t>informing</w:t>
      </w:r>
      <w:r w:rsidRPr="00353C2A">
        <w:rPr>
          <w:color w:val="FF0000"/>
          <w:lang w:val="en-GB"/>
        </w:rPr>
        <w:t xml:space="preserve"> the </w:t>
      </w:r>
      <w:r w:rsidRPr="00353C2A">
        <w:rPr>
          <w:color w:val="FF0000"/>
          <w:lang w:val="en-GB"/>
        </w:rPr>
        <w:lastRenderedPageBreak/>
        <w:t xml:space="preserve">suspect of the date and place </w:t>
      </w:r>
      <w:r w:rsidR="00FE01BD">
        <w:rPr>
          <w:color w:val="FF0000"/>
          <w:lang w:val="en-GB"/>
        </w:rPr>
        <w:t>the</w:t>
      </w:r>
      <w:r w:rsidRPr="00353C2A">
        <w:rPr>
          <w:color w:val="FF0000"/>
          <w:lang w:val="en-GB"/>
        </w:rPr>
        <w:t xml:space="preserve"> whereabouts</w:t>
      </w:r>
      <w:r w:rsidR="00B86F26">
        <w:rPr>
          <w:color w:val="FF0000"/>
          <w:lang w:val="en-GB"/>
        </w:rPr>
        <w:t xml:space="preserve"> of the accused </w:t>
      </w:r>
      <w:r w:rsidRPr="00353C2A">
        <w:rPr>
          <w:color w:val="FF0000"/>
          <w:lang w:val="en-GB"/>
        </w:rPr>
        <w:t xml:space="preserve">may be unknown. When the whereabouts are known and he is abroad, whatever a Member State </w:t>
      </w:r>
      <w:r>
        <w:rPr>
          <w:color w:val="FF0000"/>
          <w:lang w:val="en-GB"/>
        </w:rPr>
        <w:t xml:space="preserve">does </w:t>
      </w:r>
      <w:r w:rsidRPr="00353C2A">
        <w:rPr>
          <w:color w:val="FF0000"/>
          <w:lang w:val="en-GB"/>
        </w:rPr>
        <w:t xml:space="preserve">may have consequences for asking </w:t>
      </w:r>
      <w:r w:rsidR="003577A5">
        <w:rPr>
          <w:color w:val="FF0000"/>
          <w:lang w:val="en-GB"/>
        </w:rPr>
        <w:t xml:space="preserve">for </w:t>
      </w:r>
      <w:r w:rsidRPr="00353C2A">
        <w:rPr>
          <w:color w:val="FF0000"/>
          <w:lang w:val="en-GB"/>
        </w:rPr>
        <w:t xml:space="preserve">cooperation now or at a later stage. At the sentencing stage decisions will be made that subsequently will lead to a need for cooperation, either automatically or on the basis of a specific decision. </w:t>
      </w:r>
      <w:r w:rsidR="00FE01BD">
        <w:rPr>
          <w:color w:val="FF0000"/>
          <w:lang w:val="en-GB"/>
        </w:rPr>
        <w:t>As in the previous Chapter</w:t>
      </w:r>
      <w:r w:rsidRPr="00353C2A">
        <w:rPr>
          <w:color w:val="FF0000"/>
          <w:lang w:val="en-GB"/>
        </w:rPr>
        <w:t>, the focus</w:t>
      </w:r>
      <w:r w:rsidR="00FE01BD">
        <w:rPr>
          <w:color w:val="FF0000"/>
          <w:lang w:val="en-GB"/>
        </w:rPr>
        <w:t xml:space="preserve"> of this last one</w:t>
      </w:r>
      <w:r w:rsidRPr="00353C2A">
        <w:rPr>
          <w:color w:val="FF0000"/>
          <w:lang w:val="en-GB"/>
        </w:rPr>
        <w:t xml:space="preserve"> is on stage</w:t>
      </w:r>
      <w:r>
        <w:rPr>
          <w:color w:val="FF0000"/>
          <w:lang w:val="en-GB"/>
        </w:rPr>
        <w:t>s</w:t>
      </w:r>
      <w:r w:rsidRPr="00353C2A">
        <w:rPr>
          <w:color w:val="FF0000"/>
          <w:lang w:val="en-GB"/>
        </w:rPr>
        <w:t xml:space="preserve"> of criminal proceedings in which there is no need for judicial cooperation yet and, therefore, no need for the application of instruments yet: the stage of preparations for the trial and the sentencing stage (the determination by a court of the sentence to be imposed on an accused person who has been found guilty of th</w:t>
      </w:r>
      <w:r w:rsidR="00FE01BD">
        <w:rPr>
          <w:color w:val="FF0000"/>
          <w:lang w:val="en-GB"/>
        </w:rPr>
        <w:t>e offence he was charged with).</w:t>
      </w:r>
    </w:p>
    <w:p w14:paraId="4CC46A07" w14:textId="77777777" w:rsidR="005F5AF1" w:rsidRPr="00353C2A" w:rsidRDefault="005F5AF1" w:rsidP="00777A20">
      <w:pPr>
        <w:spacing w:line="360" w:lineRule="auto"/>
        <w:jc w:val="both"/>
        <w:rPr>
          <w:color w:val="FF0000"/>
          <w:lang w:val="en-GB"/>
        </w:rPr>
      </w:pPr>
    </w:p>
    <w:p w14:paraId="26247FC3" w14:textId="0292C436" w:rsidR="005F5AF1" w:rsidRDefault="00B86F26" w:rsidP="00777A20">
      <w:pPr>
        <w:spacing w:line="360" w:lineRule="auto"/>
        <w:jc w:val="both"/>
        <w:rPr>
          <w:color w:val="FF0000"/>
          <w:lang w:val="en-GB"/>
        </w:rPr>
      </w:pPr>
      <w:r>
        <w:rPr>
          <w:color w:val="FF0000"/>
          <w:lang w:val="en-GB"/>
        </w:rPr>
        <w:t>T</w:t>
      </w:r>
      <w:r w:rsidR="005F5AF1" w:rsidRPr="00353C2A">
        <w:rPr>
          <w:color w:val="FF0000"/>
          <w:lang w:val="en-GB"/>
        </w:rPr>
        <w:t xml:space="preserve">he object of this chapter is to establish what decisions authorities take in seeking the whereabouts of the accused. Not knowing the whereabouts of the suspect is a problem, because it means that the authorities do not know what measures are possible and with whom cooperation must be sought. Do they ask for information </w:t>
      </w:r>
      <w:r w:rsidR="003577A5">
        <w:rPr>
          <w:color w:val="FF0000"/>
          <w:lang w:val="en-GB"/>
        </w:rPr>
        <w:t>from</w:t>
      </w:r>
      <w:r w:rsidR="005F5AF1" w:rsidRPr="00353C2A">
        <w:rPr>
          <w:color w:val="FF0000"/>
          <w:lang w:val="en-GB"/>
        </w:rPr>
        <w:t xml:space="preserve"> other states, do they introduce a Schengen-alert, do they issue an EAW or do they simply wait? There is very little known </w:t>
      </w:r>
      <w:r w:rsidR="003577A5">
        <w:rPr>
          <w:color w:val="FF0000"/>
          <w:lang w:val="en-GB"/>
        </w:rPr>
        <w:t>at</w:t>
      </w:r>
      <w:r w:rsidR="005F5AF1" w:rsidRPr="00353C2A">
        <w:rPr>
          <w:color w:val="FF0000"/>
          <w:lang w:val="en-GB"/>
        </w:rPr>
        <w:t xml:space="preserve"> this early stage and especially not on whether and if so, what instruments of cooperation are used.</w:t>
      </w:r>
    </w:p>
    <w:p w14:paraId="1EBFE4AE" w14:textId="77777777" w:rsidR="00A50AEF" w:rsidRDefault="00A50AEF" w:rsidP="00777A20">
      <w:pPr>
        <w:spacing w:line="360" w:lineRule="auto"/>
        <w:jc w:val="both"/>
        <w:rPr>
          <w:color w:val="FF0000"/>
          <w:lang w:val="en-GB"/>
        </w:rPr>
      </w:pPr>
    </w:p>
    <w:p w14:paraId="42B4B12A" w14:textId="219EF4F9" w:rsidR="00A50AEF" w:rsidRDefault="00AD4850" w:rsidP="00777A20">
      <w:pPr>
        <w:spacing w:line="360" w:lineRule="auto"/>
        <w:jc w:val="both"/>
        <w:rPr>
          <w:lang w:val="en-GB"/>
        </w:rPr>
      </w:pPr>
      <w:r>
        <w:rPr>
          <w:lang w:val="en-GB"/>
        </w:rPr>
        <w:t>If a</w:t>
      </w:r>
      <w:r w:rsidR="00127DD2">
        <w:rPr>
          <w:lang w:val="en-GB"/>
        </w:rPr>
        <w:t>n</w:t>
      </w:r>
      <w:r>
        <w:rPr>
          <w:lang w:val="en-GB"/>
        </w:rPr>
        <w:t xml:space="preserve"> EAW has been issued and the whereabouts of a person are unknown, the judge usually issues an alert for arrest and surrender (section 131 CCP, </w:t>
      </w:r>
      <w:r w:rsidR="00A50AEF">
        <w:rPr>
          <w:lang w:val="en-GB"/>
        </w:rPr>
        <w:t xml:space="preserve">Art. 26 </w:t>
      </w:r>
      <w:r>
        <w:rPr>
          <w:lang w:val="en-GB"/>
        </w:rPr>
        <w:t>Decision 2007/533/JHA</w:t>
      </w:r>
      <w:r w:rsidR="00A50AEF">
        <w:rPr>
          <w:lang w:val="en-GB"/>
        </w:rPr>
        <w:t>)</w:t>
      </w:r>
      <w:r>
        <w:rPr>
          <w:lang w:val="en-GB"/>
        </w:rPr>
        <w:t xml:space="preserve">. </w:t>
      </w:r>
      <w:r w:rsidR="004C2B1B">
        <w:rPr>
          <w:lang w:val="en-GB"/>
        </w:rPr>
        <w:t>If the issuing authority has grounds to believe that the person wanted for arrest is in a certain Member State, a bilateral request (and a direct transmission of the EAW) can be appropriate.</w:t>
      </w:r>
      <w:r w:rsidR="009B60CE">
        <w:rPr>
          <w:rStyle w:val="Funotenzeichen"/>
          <w:lang w:val="en-GB"/>
        </w:rPr>
        <w:footnoteReference w:id="377"/>
      </w:r>
      <w:r w:rsidR="004C2B1B">
        <w:rPr>
          <w:lang w:val="en-GB"/>
        </w:rPr>
        <w:t xml:space="preserve"> In judicial practice, however, a Schengen alert is the rule if a</w:t>
      </w:r>
      <w:r w:rsidR="00127DD2">
        <w:rPr>
          <w:lang w:val="en-GB"/>
        </w:rPr>
        <w:t>n</w:t>
      </w:r>
      <w:r w:rsidR="004C2B1B">
        <w:rPr>
          <w:lang w:val="en-GB"/>
        </w:rPr>
        <w:t xml:space="preserve"> EAW has been issued.</w:t>
      </w:r>
      <w:r w:rsidR="00FA7A04">
        <w:rPr>
          <w:rStyle w:val="Funotenzeichen"/>
          <w:lang w:val="en-GB"/>
        </w:rPr>
        <w:footnoteReference w:id="378"/>
      </w:r>
      <w:r w:rsidR="00382611">
        <w:rPr>
          <w:lang w:val="en-GB"/>
        </w:rPr>
        <w:t xml:space="preserve"> These measures can be supplemented by targeted searches in the Schengen area.</w:t>
      </w:r>
      <w:r w:rsidR="00382611">
        <w:rPr>
          <w:rStyle w:val="Funotenzeichen"/>
          <w:lang w:val="en-GB"/>
        </w:rPr>
        <w:footnoteReference w:id="379"/>
      </w:r>
    </w:p>
    <w:p w14:paraId="41235415" w14:textId="4E5AE763" w:rsidR="00A50AEF" w:rsidRDefault="004C2B1B" w:rsidP="00777A20">
      <w:pPr>
        <w:spacing w:line="360" w:lineRule="auto"/>
        <w:jc w:val="both"/>
        <w:rPr>
          <w:lang w:val="en-GB"/>
        </w:rPr>
      </w:pPr>
      <w:r>
        <w:rPr>
          <w:lang w:val="en-GB"/>
        </w:rPr>
        <w:t xml:space="preserve">If no EAW has been issued (e.g. because arrest and detention for surrender </w:t>
      </w:r>
      <w:r w:rsidR="00166B6E">
        <w:rPr>
          <w:lang w:val="en-GB"/>
        </w:rPr>
        <w:t>are considered</w:t>
      </w:r>
      <w:r>
        <w:rPr>
          <w:lang w:val="en-GB"/>
        </w:rPr>
        <w:t xml:space="preserve"> disproportionate)</w:t>
      </w:r>
      <w:r w:rsidR="00166B6E">
        <w:rPr>
          <w:lang w:val="en-GB"/>
        </w:rPr>
        <w:t xml:space="preserve"> and the accused or convicted person shall be summoned or served with a penalty order</w:t>
      </w:r>
      <w:r>
        <w:rPr>
          <w:lang w:val="en-GB"/>
        </w:rPr>
        <w:t>, the public prosecutor or the competent court may issue an alert for</w:t>
      </w:r>
      <w:r w:rsidRPr="0033147B">
        <w:rPr>
          <w:lang w:val="en-GB"/>
        </w:rPr>
        <w:t xml:space="preserve"> the </w:t>
      </w:r>
      <w:r w:rsidRPr="004C2B1B">
        <w:rPr>
          <w:lang w:val="en-GB"/>
        </w:rPr>
        <w:t>purpose of communicating the</w:t>
      </w:r>
      <w:r>
        <w:rPr>
          <w:lang w:val="en-GB"/>
        </w:rPr>
        <w:t xml:space="preserve"> accused person’</w:t>
      </w:r>
      <w:r w:rsidR="00E448DD">
        <w:rPr>
          <w:lang w:val="en-GB"/>
        </w:rPr>
        <w:t>s</w:t>
      </w:r>
      <w:r w:rsidRPr="004C2B1B">
        <w:rPr>
          <w:lang w:val="en-GB"/>
        </w:rPr>
        <w:t xml:space="preserve"> place of residence or domicile</w:t>
      </w:r>
      <w:r w:rsidR="00166B6E">
        <w:rPr>
          <w:lang w:val="en-GB"/>
        </w:rPr>
        <w:t xml:space="preserve"> (Art. 34 Decision 2007/533/JHA).</w:t>
      </w:r>
    </w:p>
    <w:p w14:paraId="48E36C9E" w14:textId="69D62A96" w:rsidR="00382611" w:rsidRPr="00166B6E" w:rsidRDefault="00382611" w:rsidP="00777A20">
      <w:pPr>
        <w:spacing w:line="360" w:lineRule="auto"/>
        <w:jc w:val="both"/>
        <w:rPr>
          <w:lang w:val="en-US"/>
        </w:rPr>
      </w:pPr>
      <w:r>
        <w:rPr>
          <w:lang w:val="en-GB"/>
        </w:rPr>
        <w:lastRenderedPageBreak/>
        <w:t>According to defence lawyers, the choice between these two instruments seems to be very difficult in court practice.</w:t>
      </w:r>
      <w:r>
        <w:rPr>
          <w:rStyle w:val="Funotenzeichen"/>
          <w:lang w:val="en-GB"/>
        </w:rPr>
        <w:footnoteReference w:id="380"/>
      </w:r>
      <w:r>
        <w:rPr>
          <w:lang w:val="en-GB"/>
        </w:rPr>
        <w:t xml:space="preserve"> There are cases in which a judge has revoked a national arrest warrant (and the corresponding EAW) because the address of the accused person had been established and detention was no longer justified by a risk of flight.</w:t>
      </w:r>
      <w:r>
        <w:rPr>
          <w:rStyle w:val="Funotenzeichen"/>
          <w:lang w:val="en-GB"/>
        </w:rPr>
        <w:footnoteReference w:id="381"/>
      </w:r>
      <w:r w:rsidR="007F1A3C">
        <w:rPr>
          <w:lang w:val="en-GB"/>
        </w:rPr>
        <w:t xml:space="preserve"> </w:t>
      </w:r>
      <w:r w:rsidR="009B60CE">
        <w:rPr>
          <w:lang w:val="en-GB"/>
        </w:rPr>
        <w:t>Overall</w:t>
      </w:r>
      <w:r w:rsidR="007F1A3C">
        <w:rPr>
          <w:lang w:val="en-GB"/>
        </w:rPr>
        <w:t xml:space="preserve">, alerts for the purpose of communicating the suspect’s place of residence are </w:t>
      </w:r>
      <w:r w:rsidR="009B60CE">
        <w:rPr>
          <w:lang w:val="en-GB"/>
        </w:rPr>
        <w:t>rare.</w:t>
      </w:r>
      <w:r w:rsidR="009B60CE">
        <w:rPr>
          <w:rStyle w:val="Funotenzeichen"/>
          <w:lang w:val="en-GB"/>
        </w:rPr>
        <w:footnoteReference w:id="382"/>
      </w:r>
    </w:p>
    <w:p w14:paraId="614620EC" w14:textId="77777777" w:rsidR="005F5AF1" w:rsidRPr="00166B6E" w:rsidRDefault="005F5AF1" w:rsidP="00777A20">
      <w:pPr>
        <w:spacing w:line="360" w:lineRule="auto"/>
        <w:jc w:val="both"/>
        <w:rPr>
          <w:color w:val="FF0000"/>
          <w:lang w:val="en-US"/>
        </w:rPr>
      </w:pPr>
    </w:p>
    <w:p w14:paraId="5A69E9B4" w14:textId="45687507" w:rsidR="005F5AF1" w:rsidRPr="00353C2A" w:rsidRDefault="005F5AF1" w:rsidP="00777A20">
      <w:pPr>
        <w:spacing w:line="360" w:lineRule="auto"/>
        <w:jc w:val="both"/>
        <w:rPr>
          <w:color w:val="FF0000"/>
          <w:lang w:val="en-GB"/>
        </w:rPr>
      </w:pPr>
      <w:r w:rsidRPr="00353C2A">
        <w:rPr>
          <w:color w:val="FF0000"/>
          <w:lang w:val="en-GB"/>
        </w:rPr>
        <w:t xml:space="preserve">Depending on national criminal procedure, a Member State may or may not have the possibility to conduct trials in the absence of the accused. It would be relevant to know to what extent judges consider the pros and cons of asking </w:t>
      </w:r>
      <w:r w:rsidR="003577A5">
        <w:rPr>
          <w:color w:val="FF0000"/>
          <w:lang w:val="en-GB"/>
        </w:rPr>
        <w:t xml:space="preserve">for </w:t>
      </w:r>
      <w:r w:rsidRPr="00353C2A">
        <w:rPr>
          <w:color w:val="FF0000"/>
          <w:lang w:val="en-GB"/>
        </w:rPr>
        <w:t xml:space="preserve">cooperation when taking a decision on the summons of the accused as well as on whether or not to proceed to trial without the accused present. </w:t>
      </w:r>
    </w:p>
    <w:p w14:paraId="2C3794C7" w14:textId="77777777" w:rsidR="005F5AF1" w:rsidRPr="00353C2A" w:rsidRDefault="005F5AF1" w:rsidP="00777A20">
      <w:pPr>
        <w:spacing w:line="360" w:lineRule="auto"/>
        <w:jc w:val="both"/>
        <w:rPr>
          <w:color w:val="FF0000"/>
          <w:lang w:val="en-GB"/>
        </w:rPr>
      </w:pPr>
    </w:p>
    <w:p w14:paraId="6B536FD4" w14:textId="77777777" w:rsidR="005F5AF1" w:rsidRPr="00353C2A" w:rsidRDefault="005F5AF1" w:rsidP="00777A20">
      <w:pPr>
        <w:spacing w:line="360" w:lineRule="auto"/>
        <w:jc w:val="both"/>
        <w:rPr>
          <w:color w:val="FF0000"/>
          <w:lang w:val="en-GB"/>
        </w:rPr>
      </w:pPr>
      <w:r w:rsidRPr="00353C2A">
        <w:rPr>
          <w:color w:val="FF0000"/>
          <w:lang w:val="en-GB"/>
        </w:rPr>
        <w:t>At least two issues are of interest here:</w:t>
      </w:r>
      <w:r w:rsidRPr="00353C2A">
        <w:rPr>
          <w:rStyle w:val="Funotenzeichen"/>
          <w:rFonts w:eastAsiaTheme="majorEastAsia"/>
          <w:color w:val="FF0000"/>
          <w:lang w:val="en-GB"/>
        </w:rPr>
        <w:footnoteReference w:id="383"/>
      </w:r>
    </w:p>
    <w:p w14:paraId="7AF61A8A" w14:textId="0B6E3844" w:rsidR="005F5AF1" w:rsidRDefault="005F5AF1" w:rsidP="00777A20">
      <w:pPr>
        <w:spacing w:line="360" w:lineRule="auto"/>
        <w:jc w:val="both"/>
        <w:rPr>
          <w:color w:val="FF0000"/>
          <w:lang w:val="en-GB"/>
        </w:rPr>
      </w:pPr>
      <w:r w:rsidRPr="00353C2A">
        <w:rPr>
          <w:color w:val="FF0000"/>
          <w:lang w:val="en-GB"/>
        </w:rPr>
        <w:t>The summons to an accused abroad may be sen</w:t>
      </w:r>
      <w:r w:rsidR="009C1EA7">
        <w:rPr>
          <w:color w:val="FF0000"/>
          <w:lang w:val="en-GB"/>
        </w:rPr>
        <w:t>t</w:t>
      </w:r>
      <w:r w:rsidRPr="00353C2A">
        <w:rPr>
          <w:color w:val="FF0000"/>
          <w:lang w:val="en-GB"/>
        </w:rPr>
        <w:t xml:space="preserve"> directly by mail without any assistance </w:t>
      </w:r>
      <w:r w:rsidR="003577A5">
        <w:rPr>
          <w:color w:val="FF0000"/>
          <w:lang w:val="en-GB"/>
        </w:rPr>
        <w:t>from</w:t>
      </w:r>
      <w:r w:rsidRPr="00353C2A">
        <w:rPr>
          <w:color w:val="FF0000"/>
          <w:lang w:val="en-GB"/>
        </w:rPr>
        <w:t xml:space="preserve"> the Member State in which the accused resides. It may also be sen</w:t>
      </w:r>
      <w:r>
        <w:rPr>
          <w:color w:val="FF0000"/>
          <w:lang w:val="en-GB"/>
        </w:rPr>
        <w:t>t</w:t>
      </w:r>
      <w:r w:rsidRPr="00353C2A">
        <w:rPr>
          <w:color w:val="FF0000"/>
          <w:lang w:val="en-GB"/>
        </w:rPr>
        <w:t xml:space="preserve"> with the assistance of its authorities. The former may be faster, the latter may give more certainty about whether the accused received the summons and wishes to be present at the trial. Is this a matter that is considered by courts? To what extent does the choice for one or the other relate to the (im)possibility the national system may have to conduct proceedings in the absence of the accused?</w:t>
      </w:r>
      <w:r w:rsidRPr="00353C2A">
        <w:rPr>
          <w:lang w:val="en-US"/>
        </w:rPr>
        <w:t xml:space="preserve"> </w:t>
      </w:r>
      <w:r w:rsidRPr="00353C2A">
        <w:rPr>
          <w:color w:val="FF0000"/>
          <w:lang w:val="en-GB"/>
        </w:rPr>
        <w:t xml:space="preserve">Is it considered that if the accused </w:t>
      </w:r>
      <w:r>
        <w:rPr>
          <w:color w:val="FF0000"/>
          <w:lang w:val="en-GB"/>
        </w:rPr>
        <w:t xml:space="preserve">is </w:t>
      </w:r>
      <w:r w:rsidRPr="00353C2A">
        <w:rPr>
          <w:color w:val="FF0000"/>
          <w:lang w:val="en-GB"/>
        </w:rPr>
        <w:t>in the other Member State, whether a transfer of proceedings might be more appropriate in this case?</w:t>
      </w:r>
    </w:p>
    <w:p w14:paraId="6A15E137" w14:textId="77777777" w:rsidR="00BA26A0" w:rsidRDefault="00BA26A0" w:rsidP="00777A20">
      <w:pPr>
        <w:spacing w:line="360" w:lineRule="auto"/>
        <w:jc w:val="both"/>
        <w:rPr>
          <w:color w:val="FF0000"/>
          <w:lang w:val="en-GB"/>
        </w:rPr>
      </w:pPr>
    </w:p>
    <w:p w14:paraId="0AC54F36" w14:textId="4126F62A" w:rsidR="00166B6E" w:rsidRDefault="00166B6E" w:rsidP="00777A20">
      <w:pPr>
        <w:spacing w:line="360" w:lineRule="auto"/>
        <w:jc w:val="both"/>
        <w:rPr>
          <w:lang w:val="en-GB"/>
        </w:rPr>
      </w:pPr>
      <w:r>
        <w:rPr>
          <w:lang w:val="en-GB"/>
        </w:rPr>
        <w:t>As has been mentioned above (</w:t>
      </w:r>
      <w:r>
        <w:rPr>
          <w:i/>
          <w:lang w:val="en-GB"/>
        </w:rPr>
        <w:t xml:space="preserve">supra </w:t>
      </w:r>
      <w:r>
        <w:rPr>
          <w:lang w:val="en-GB"/>
        </w:rPr>
        <w:t>2.1.2.), a trial in the absence of the accused person are generally prohibited in Germany</w:t>
      </w:r>
      <w:r w:rsidR="0008618B">
        <w:rPr>
          <w:lang w:val="en-GB"/>
        </w:rPr>
        <w:t>, and the exceptions to this rule are rather limited (sections 232, 233 CCP).</w:t>
      </w:r>
    </w:p>
    <w:p w14:paraId="255B7868" w14:textId="67B9ECA8" w:rsidR="0008618B" w:rsidRDefault="0008618B" w:rsidP="00777A20">
      <w:pPr>
        <w:spacing w:line="360" w:lineRule="auto"/>
        <w:jc w:val="both"/>
        <w:rPr>
          <w:lang w:val="en-GB"/>
        </w:rPr>
      </w:pPr>
      <w:r>
        <w:rPr>
          <w:lang w:val="en-GB"/>
        </w:rPr>
        <w:t xml:space="preserve">The choice whether to send the summons directly by mail or with the assistance of the other MS is relevant for serving the accused person with a penalty order. In this regard, assistance by the other MS is preferred for reasons of legal certainty. </w:t>
      </w:r>
      <w:r w:rsidR="001047AC">
        <w:rPr>
          <w:lang w:val="en-GB"/>
        </w:rPr>
        <w:t xml:space="preserve">For similar reasons, the legislator has provided for the option to </w:t>
      </w:r>
      <w:r w:rsidR="001047AC" w:rsidRPr="00D73E40">
        <w:rPr>
          <w:lang w:val="en-US"/>
        </w:rPr>
        <w:t>authori</w:t>
      </w:r>
      <w:r w:rsidR="00ED258B">
        <w:rPr>
          <w:lang w:val="en-US"/>
        </w:rPr>
        <w:t>z</w:t>
      </w:r>
      <w:r w:rsidR="001047AC" w:rsidRPr="00D73E40">
        <w:rPr>
          <w:lang w:val="en-US"/>
        </w:rPr>
        <w:t>e a person residing within the district of the competent court to accept service</w:t>
      </w:r>
      <w:r w:rsidR="001047AC">
        <w:rPr>
          <w:lang w:val="en-US"/>
        </w:rPr>
        <w:t xml:space="preserve"> of the penalty order (section 132 CCP); nevertheless, the penalty order </w:t>
      </w:r>
      <w:r w:rsidR="001047AC">
        <w:rPr>
          <w:lang w:val="en-US"/>
        </w:rPr>
        <w:lastRenderedPageBreak/>
        <w:t>cannot be enforced unless the person was able to lodge an objection to the order (</w:t>
      </w:r>
      <w:r w:rsidR="001047AC">
        <w:rPr>
          <w:i/>
          <w:lang w:val="en-US"/>
        </w:rPr>
        <w:t xml:space="preserve">supra </w:t>
      </w:r>
      <w:r w:rsidR="001047AC">
        <w:rPr>
          <w:lang w:val="en-US"/>
        </w:rPr>
        <w:t>2.2.1.).</w:t>
      </w:r>
      <w:r w:rsidR="001047AC">
        <w:rPr>
          <w:lang w:val="en-GB"/>
        </w:rPr>
        <w:t xml:space="preserve"> </w:t>
      </w:r>
      <w:r>
        <w:rPr>
          <w:lang w:val="en-GB"/>
        </w:rPr>
        <w:t xml:space="preserve">In contrast, a summons is usually sent directly by </w:t>
      </w:r>
      <w:r w:rsidR="001047AC">
        <w:rPr>
          <w:lang w:val="en-GB"/>
        </w:rPr>
        <w:t>mail in order to ensure that the accused person is informed in due time</w:t>
      </w:r>
      <w:r w:rsidR="009B60CE">
        <w:rPr>
          <w:lang w:val="en-GB"/>
        </w:rPr>
        <w:t>.</w:t>
      </w:r>
      <w:r w:rsidR="009B60CE">
        <w:rPr>
          <w:rStyle w:val="Funotenzeichen"/>
          <w:lang w:val="en-GB"/>
        </w:rPr>
        <w:footnoteReference w:id="384"/>
      </w:r>
      <w:r w:rsidR="001047AC">
        <w:rPr>
          <w:lang w:val="en-GB"/>
        </w:rPr>
        <w:t xml:space="preserve"> </w:t>
      </w:r>
      <w:r w:rsidR="009B60CE">
        <w:rPr>
          <w:lang w:val="en-GB"/>
        </w:rPr>
        <w:t>A</w:t>
      </w:r>
      <w:r w:rsidR="001047AC">
        <w:rPr>
          <w:lang w:val="en-GB"/>
        </w:rPr>
        <w:t xml:space="preserve"> formal request might sometimes be granted and executed after months or even a year.</w:t>
      </w:r>
      <w:r w:rsidR="00382611">
        <w:rPr>
          <w:lang w:val="en-GB"/>
        </w:rPr>
        <w:t xml:space="preserve"> If the accused person has a defence counsel in Germany, a summons and other documents are served to the latter so that the aforementioned problems will not arise.</w:t>
      </w:r>
      <w:r w:rsidR="00382611">
        <w:rPr>
          <w:rStyle w:val="Funotenzeichen"/>
          <w:lang w:val="en-GB"/>
        </w:rPr>
        <w:footnoteReference w:id="385"/>
      </w:r>
      <w:r w:rsidR="009B60CE">
        <w:rPr>
          <w:lang w:val="en-GB"/>
        </w:rPr>
        <w:t xml:space="preserve"> In order to facilitate the enforcement of penalty orders, </w:t>
      </w:r>
      <w:r w:rsidR="009B60CE">
        <w:rPr>
          <w:lang w:val="en-US"/>
        </w:rPr>
        <w:t>a harmoni</w:t>
      </w:r>
      <w:r w:rsidR="009E74DE">
        <w:rPr>
          <w:lang w:val="en-US"/>
        </w:rPr>
        <w:t>z</w:t>
      </w:r>
      <w:r w:rsidR="009B60CE">
        <w:rPr>
          <w:lang w:val="en-US"/>
        </w:rPr>
        <w:t>ed framework for serving summons and other documents should be established.</w:t>
      </w:r>
      <w:r w:rsidR="009B60CE">
        <w:rPr>
          <w:rStyle w:val="Funotenzeichen"/>
          <w:lang w:val="en-US"/>
        </w:rPr>
        <w:footnoteReference w:id="386"/>
      </w:r>
    </w:p>
    <w:p w14:paraId="4E650A28" w14:textId="77777777" w:rsidR="005F5AF1" w:rsidRPr="00353C2A" w:rsidRDefault="005F5AF1" w:rsidP="00777A20">
      <w:pPr>
        <w:spacing w:line="360" w:lineRule="auto"/>
        <w:jc w:val="both"/>
        <w:rPr>
          <w:color w:val="FF0000"/>
          <w:lang w:val="en-GB"/>
        </w:rPr>
      </w:pPr>
    </w:p>
    <w:p w14:paraId="416878F4" w14:textId="15437B46" w:rsidR="005F5AF1" w:rsidRPr="00061D9A" w:rsidRDefault="005F5AF1" w:rsidP="00777A20">
      <w:pPr>
        <w:spacing w:line="360" w:lineRule="auto"/>
        <w:jc w:val="both"/>
        <w:rPr>
          <w:color w:val="FF0000"/>
          <w:lang w:val="en-GB"/>
        </w:rPr>
      </w:pPr>
      <w:r w:rsidRPr="00353C2A">
        <w:rPr>
          <w:color w:val="FF0000"/>
          <w:lang w:val="en-GB"/>
        </w:rPr>
        <w:t xml:space="preserve">There is a follow-up question to that. When taking the decision to allow </w:t>
      </w:r>
      <w:r w:rsidRPr="00061D9A">
        <w:rPr>
          <w:i/>
          <w:iCs/>
          <w:color w:val="FF0000"/>
          <w:lang w:val="en-GB"/>
        </w:rPr>
        <w:t>in absentia</w:t>
      </w:r>
      <w:r w:rsidRPr="00353C2A">
        <w:rPr>
          <w:color w:val="FF0000"/>
          <w:lang w:val="en-GB"/>
        </w:rPr>
        <w:t xml:space="preserve"> proceedings to be held, does the judge consider that the </w:t>
      </w:r>
      <w:r w:rsidRPr="00061D9A">
        <w:rPr>
          <w:i/>
          <w:iCs/>
          <w:color w:val="FF0000"/>
          <w:lang w:val="en-GB"/>
        </w:rPr>
        <w:t>in absentia</w:t>
      </w:r>
      <w:r w:rsidRPr="00353C2A">
        <w:rPr>
          <w:color w:val="FF0000"/>
          <w:lang w:val="en-GB"/>
        </w:rPr>
        <w:t xml:space="preserve"> character of the proceedings may have consequences when later international cooperation is needed</w:t>
      </w:r>
      <w:r>
        <w:rPr>
          <w:color w:val="FF0000"/>
          <w:lang w:val="en-GB"/>
        </w:rPr>
        <w:t>?</w:t>
      </w:r>
      <w:r w:rsidRPr="00353C2A">
        <w:rPr>
          <w:color w:val="FF0000"/>
          <w:lang w:val="en-GB"/>
        </w:rPr>
        <w:t xml:space="preserve"> For example: </w:t>
      </w:r>
      <w:r>
        <w:rPr>
          <w:color w:val="FF0000"/>
          <w:lang w:val="en-GB"/>
        </w:rPr>
        <w:t>FD 2002/584/JHA</w:t>
      </w:r>
      <w:r w:rsidRPr="00353C2A">
        <w:rPr>
          <w:color w:val="FF0000"/>
          <w:lang w:val="en-GB"/>
        </w:rPr>
        <w:t xml:space="preserve"> applies other, more severe, conditions to such judgements than to other</w:t>
      </w:r>
      <w:r>
        <w:rPr>
          <w:color w:val="FF0000"/>
          <w:lang w:val="en-GB"/>
        </w:rPr>
        <w:t xml:space="preserve"> judgments</w:t>
      </w:r>
      <w:r w:rsidRPr="00353C2A">
        <w:rPr>
          <w:color w:val="FF0000"/>
          <w:lang w:val="en-GB"/>
        </w:rPr>
        <w:t>.</w:t>
      </w:r>
    </w:p>
    <w:p w14:paraId="2C141A2F" w14:textId="3163F6A2" w:rsidR="00F66F90" w:rsidRDefault="005D7108" w:rsidP="00777A20">
      <w:pPr>
        <w:spacing w:after="160" w:line="259" w:lineRule="auto"/>
        <w:jc w:val="both"/>
        <w:rPr>
          <w:lang w:val="en-GB"/>
        </w:rPr>
      </w:pPr>
      <w:r>
        <w:rPr>
          <w:lang w:val="en-GB"/>
        </w:rPr>
        <w:t>As has been mentioned before, this question is not relevant for Germany as the issuing MS</w:t>
      </w:r>
      <w:r w:rsidR="00A26E2B" w:rsidRPr="000238AA">
        <w:rPr>
          <w:lang w:val="en-GB"/>
        </w:rPr>
        <w:t xml:space="preserve">, as German law does not allow for trials </w:t>
      </w:r>
      <w:r w:rsidR="00A26E2B" w:rsidRPr="00230443">
        <w:rPr>
          <w:i/>
          <w:lang w:val="en-GB"/>
        </w:rPr>
        <w:t>in absentia</w:t>
      </w:r>
      <w:r w:rsidR="00A26E2B" w:rsidRPr="000238AA">
        <w:rPr>
          <w:lang w:val="en-GB"/>
        </w:rPr>
        <w:t xml:space="preserve">. </w:t>
      </w:r>
    </w:p>
    <w:p w14:paraId="36A246AD" w14:textId="77777777" w:rsidR="00C86573" w:rsidRDefault="00C86573" w:rsidP="00777A20">
      <w:pPr>
        <w:spacing w:after="160" w:line="259" w:lineRule="auto"/>
        <w:jc w:val="both"/>
        <w:rPr>
          <w:lang w:val="en-GB"/>
        </w:rPr>
      </w:pPr>
    </w:p>
    <w:p w14:paraId="755F3238" w14:textId="519D3C13" w:rsidR="00AD2A9D" w:rsidRPr="00AD2A9D" w:rsidRDefault="00AD2A9D" w:rsidP="00AD2A9D">
      <w:pPr>
        <w:pStyle w:val="berschrift1"/>
        <w:rPr>
          <w:lang w:val="en-GB"/>
        </w:rPr>
      </w:pPr>
      <w:bookmarkStart w:id="243" w:name="_Toc170228541"/>
      <w:r>
        <w:rPr>
          <w:lang w:val="en-GB"/>
        </w:rPr>
        <w:t>Memorandum</w:t>
      </w:r>
      <w:bookmarkEnd w:id="243"/>
    </w:p>
    <w:p w14:paraId="60168EC5" w14:textId="77777777" w:rsidR="00AD2A9D" w:rsidRDefault="00AD2A9D" w:rsidP="00AD2A9D">
      <w:pPr>
        <w:jc w:val="both"/>
        <w:rPr>
          <w:b/>
          <w:color w:val="FF0000"/>
          <w:lang w:val="en-GB"/>
        </w:rPr>
      </w:pPr>
    </w:p>
    <w:p w14:paraId="447E831D" w14:textId="17962F84" w:rsidR="00AE212F" w:rsidRDefault="00AE212F" w:rsidP="00AD2A9D">
      <w:pPr>
        <w:spacing w:line="360" w:lineRule="auto"/>
        <w:jc w:val="both"/>
        <w:rPr>
          <w:lang w:val="en-GB"/>
        </w:rPr>
      </w:pPr>
      <w:r>
        <w:rPr>
          <w:lang w:val="en-GB"/>
        </w:rPr>
        <w:t xml:space="preserve">In the </w:t>
      </w:r>
      <w:r w:rsidRPr="00AE212F">
        <w:rPr>
          <w:b/>
          <w:lang w:val="en-GB"/>
        </w:rPr>
        <w:t>pre-trial stage</w:t>
      </w:r>
      <w:r>
        <w:rPr>
          <w:lang w:val="en-GB"/>
        </w:rPr>
        <w:t xml:space="preserve">, the cooperation instruments (EAW and its less intrusive alternatives) can serve two purposes, namely the interrogation of the suspect and ensuring his availability for the investigation. </w:t>
      </w:r>
    </w:p>
    <w:p w14:paraId="38CEC264" w14:textId="77A9A1AF" w:rsidR="00AE212F" w:rsidRDefault="00AE212F" w:rsidP="00AD2A9D">
      <w:pPr>
        <w:spacing w:line="360" w:lineRule="auto"/>
        <w:jc w:val="both"/>
        <w:rPr>
          <w:lang w:val="en-GB"/>
        </w:rPr>
      </w:pPr>
      <w:r>
        <w:rPr>
          <w:lang w:val="en-GB"/>
        </w:rPr>
        <w:t>In Germany, a</w:t>
      </w:r>
      <w:r w:rsidR="00127DD2">
        <w:rPr>
          <w:lang w:val="en-GB"/>
        </w:rPr>
        <w:t>n</w:t>
      </w:r>
      <w:r>
        <w:rPr>
          <w:lang w:val="en-GB"/>
        </w:rPr>
        <w:t xml:space="preserve"> EAW must not be issued for the mere purpose of interrogating the suspect. A</w:t>
      </w:r>
      <w:r w:rsidR="00127DD2">
        <w:rPr>
          <w:lang w:val="en-GB"/>
        </w:rPr>
        <w:t>n</w:t>
      </w:r>
      <w:r>
        <w:rPr>
          <w:lang w:val="en-GB"/>
        </w:rPr>
        <w:t xml:space="preserve"> EAW must be based upon a national arrest warrant, and the need for </w:t>
      </w:r>
      <w:r w:rsidR="00456C12">
        <w:rPr>
          <w:lang w:val="en-GB"/>
        </w:rPr>
        <w:t>an</w:t>
      </w:r>
      <w:r>
        <w:rPr>
          <w:lang w:val="en-GB"/>
        </w:rPr>
        <w:t xml:space="preserve"> examination of the suspect is no sufficient ground for detention on remand. </w:t>
      </w:r>
      <w:r w:rsidR="00456C12" w:rsidRPr="00F50BD7">
        <w:rPr>
          <w:lang w:val="en-US"/>
        </w:rPr>
        <w:t>According to</w:t>
      </w:r>
      <w:r w:rsidR="00456C12">
        <w:rPr>
          <w:lang w:val="en-US"/>
        </w:rPr>
        <w:t xml:space="preserve"> </w:t>
      </w:r>
      <w:r w:rsidR="00456C12" w:rsidRPr="00F50BD7">
        <w:rPr>
          <w:lang w:val="en-US"/>
        </w:rPr>
        <w:t>the Commission’s H</w:t>
      </w:r>
      <w:r w:rsidR="00456C12">
        <w:rPr>
          <w:lang w:val="en-US"/>
        </w:rPr>
        <w:t>andbook on the European Arrest Warrant, the issuing of a</w:t>
      </w:r>
      <w:r w:rsidR="00127DD2">
        <w:rPr>
          <w:lang w:val="en-US"/>
        </w:rPr>
        <w:t>n</w:t>
      </w:r>
      <w:r w:rsidR="00456C12">
        <w:rPr>
          <w:lang w:val="en-US"/>
        </w:rPr>
        <w:t xml:space="preserve"> EAW for this purpose would be </w:t>
      </w:r>
      <w:r w:rsidR="00456C12">
        <w:rPr>
          <w:lang w:val="en-GB"/>
        </w:rPr>
        <w:t>in breach with the proportionality principle, and German practitioners pointed to the suspect’s right to remain silent. Likewise, a transfer of the suspect must not be based upon a</w:t>
      </w:r>
      <w:r w:rsidR="00127DD2">
        <w:rPr>
          <w:lang w:val="en-GB"/>
        </w:rPr>
        <w:t>n</w:t>
      </w:r>
      <w:r w:rsidR="00456C12">
        <w:rPr>
          <w:lang w:val="en-GB"/>
        </w:rPr>
        <w:t xml:space="preserve"> EIO; transfer of the suspect is exclusively governed by the EAW regime (see Art. 19(1)</w:t>
      </w:r>
      <w:r w:rsidR="008063D1">
        <w:rPr>
          <w:lang w:val="en-GB"/>
        </w:rPr>
        <w:t xml:space="preserve"> lit. b</w:t>
      </w:r>
      <w:r w:rsidR="00456C12">
        <w:rPr>
          <w:lang w:val="en-GB"/>
        </w:rPr>
        <w:t xml:space="preserve"> FD 2002/584/JHA).</w:t>
      </w:r>
    </w:p>
    <w:p w14:paraId="66A29126" w14:textId="000C57BC" w:rsidR="00433117" w:rsidRPr="00E60026" w:rsidRDefault="00456C12" w:rsidP="00AD2A9D">
      <w:pPr>
        <w:spacing w:line="360" w:lineRule="auto"/>
        <w:jc w:val="both"/>
      </w:pPr>
      <w:r>
        <w:rPr>
          <w:lang w:val="en-GB"/>
        </w:rPr>
        <w:t xml:space="preserve">Thus, the suitable cooperation instrument for the interrogation of the suspect is the EIO (interrogation by the executing authority, videoconference); the suspect may be served with a summons (Art. 5 EU Convention on Mutual Assistance). In practice, German prosecutors </w:t>
      </w:r>
      <w:r>
        <w:rPr>
          <w:lang w:val="en-GB"/>
        </w:rPr>
        <w:lastRenderedPageBreak/>
        <w:t>request for an interrogation by the police or for a written statement of the suspect.</w:t>
      </w:r>
      <w:r w:rsidR="00433117">
        <w:rPr>
          <w:lang w:val="en-GB"/>
        </w:rPr>
        <w:t xml:space="preserve"> Transfer of proceedings is not an alternative to the interrogation of the suspect because proceedings are not transferred without the defendant being heard</w:t>
      </w:r>
      <w:r w:rsidR="00515C10">
        <w:rPr>
          <w:lang w:val="en-GB"/>
        </w:rPr>
        <w:t>,</w:t>
      </w:r>
      <w:r w:rsidR="00AF37A6">
        <w:rPr>
          <w:lang w:val="en-US"/>
        </w:rPr>
        <w:t xml:space="preserve"> </w:t>
      </w:r>
      <w:r w:rsidR="00515C10">
        <w:rPr>
          <w:lang w:val="en-US"/>
        </w:rPr>
        <w:t>a requirement that has also been included in Art. 6(3)</w:t>
      </w:r>
      <w:r w:rsidR="00F61EBE">
        <w:rPr>
          <w:lang w:val="en-US"/>
        </w:rPr>
        <w:t xml:space="preserve"> lit. b</w:t>
      </w:r>
      <w:r w:rsidR="00515C10">
        <w:rPr>
          <w:lang w:val="en-US"/>
        </w:rPr>
        <w:t xml:space="preserve"> of </w:t>
      </w:r>
      <w:r w:rsidR="00915DCA">
        <w:rPr>
          <w:lang w:val="en-US"/>
        </w:rPr>
        <w:t>Regulation (EU) 2024/3011 on the transfer of proceedings in criminal matters</w:t>
      </w:r>
      <w:r w:rsidR="00515C10">
        <w:rPr>
          <w:lang w:val="en-US"/>
        </w:rPr>
        <w:t xml:space="preserve">. </w:t>
      </w:r>
    </w:p>
    <w:p w14:paraId="36D7F84A" w14:textId="7595AA91" w:rsidR="00A3273B" w:rsidRDefault="00433117" w:rsidP="00A3273B">
      <w:pPr>
        <w:spacing w:line="360" w:lineRule="auto"/>
        <w:jc w:val="both"/>
        <w:rPr>
          <w:lang w:val="en-GB"/>
        </w:rPr>
      </w:pPr>
      <w:r>
        <w:rPr>
          <w:lang w:val="en-GB"/>
        </w:rPr>
        <w:t>A</w:t>
      </w:r>
      <w:r w:rsidR="00127DD2">
        <w:rPr>
          <w:lang w:val="en-GB"/>
        </w:rPr>
        <w:t>n</w:t>
      </w:r>
      <w:r>
        <w:rPr>
          <w:lang w:val="en-GB"/>
        </w:rPr>
        <w:t xml:space="preserve"> EAW may be issued in order to ensure the suspect’s availability for criminal proceedings in the issuing Member State (Germany) if the conditions for a national arrest warrant (strong suspicion and a ground for detention such as flight, risk of flight or tampering with evidence) are met and the EAW is proportionate.</w:t>
      </w:r>
      <w:r w:rsidR="00A3273B">
        <w:rPr>
          <w:lang w:val="en-GB"/>
        </w:rPr>
        <w:t xml:space="preserve"> </w:t>
      </w:r>
    </w:p>
    <w:p w14:paraId="0DC92F08" w14:textId="00B3FF4B" w:rsidR="000A0CB7" w:rsidRDefault="00433117" w:rsidP="00A3273B">
      <w:pPr>
        <w:spacing w:line="360" w:lineRule="auto"/>
        <w:jc w:val="both"/>
        <w:rPr>
          <w:lang w:val="en-GB"/>
        </w:rPr>
      </w:pPr>
      <w:r>
        <w:rPr>
          <w:lang w:val="en-GB"/>
        </w:rPr>
        <w:t>In this situation, a</w:t>
      </w:r>
      <w:r w:rsidR="001C67F0">
        <w:rPr>
          <w:lang w:val="en-GB"/>
        </w:rPr>
        <w:t>n</w:t>
      </w:r>
      <w:r>
        <w:rPr>
          <w:lang w:val="en-GB"/>
        </w:rPr>
        <w:t xml:space="preserve"> ESO may be </w:t>
      </w:r>
      <w:r w:rsidR="00A3273B">
        <w:rPr>
          <w:lang w:val="en-GB"/>
        </w:rPr>
        <w:t>used as a less intrusive means. According to EU law, a</w:t>
      </w:r>
      <w:r w:rsidR="001C67F0">
        <w:rPr>
          <w:lang w:val="en-GB"/>
        </w:rPr>
        <w:t>n</w:t>
      </w:r>
      <w:r w:rsidR="00A3273B">
        <w:rPr>
          <w:lang w:val="en-GB"/>
        </w:rPr>
        <w:t xml:space="preserve"> ESO may only be issued if the suspect is still present in the issuing Member State (Germany), but under German law an ESO may be issued as well if the person has already left Germany and stays in another Member State. However, the ESO is hardly used in court practice. </w:t>
      </w:r>
    </w:p>
    <w:p w14:paraId="76E1176F" w14:textId="739FD2EB" w:rsidR="000163C9" w:rsidRDefault="00A3273B" w:rsidP="000163C9">
      <w:pPr>
        <w:spacing w:line="360" w:lineRule="auto"/>
        <w:jc w:val="both"/>
        <w:rPr>
          <w:lang w:val="en-GB"/>
        </w:rPr>
      </w:pPr>
      <w:r>
        <w:rPr>
          <w:lang w:val="en-GB"/>
        </w:rPr>
        <w:t>On one hand, the procedure is criticised as cumbersome and ineffective: If the suspect does not comply with supervision measure, the executing authority must notify the issuing court that is exclusively competent to order the arrest of the suspect and to issue a</w:t>
      </w:r>
      <w:r w:rsidR="00127DD2">
        <w:rPr>
          <w:lang w:val="en-GB"/>
        </w:rPr>
        <w:t>n</w:t>
      </w:r>
      <w:r>
        <w:rPr>
          <w:lang w:val="en-GB"/>
        </w:rPr>
        <w:t xml:space="preserve"> EAW. </w:t>
      </w:r>
      <w:r w:rsidR="000A0CB7">
        <w:rPr>
          <w:lang w:val="en-GB"/>
        </w:rPr>
        <w:t xml:space="preserve">To avoid this time-consuming procedure, it might be an alternative to </w:t>
      </w:r>
      <w:r w:rsidR="004F1CB7">
        <w:rPr>
          <w:lang w:val="en-GB"/>
        </w:rPr>
        <w:t>link</w:t>
      </w:r>
      <w:r w:rsidR="00400188">
        <w:rPr>
          <w:lang w:val="en-GB"/>
        </w:rPr>
        <w:t xml:space="preserve"> both instruments (</w:t>
      </w:r>
      <w:r w:rsidR="000A0CB7">
        <w:rPr>
          <w:lang w:val="en-GB"/>
        </w:rPr>
        <w:t xml:space="preserve">EAW and </w:t>
      </w:r>
      <w:r w:rsidR="00400188">
        <w:rPr>
          <w:lang w:val="en-GB"/>
        </w:rPr>
        <w:t xml:space="preserve">ESO) in a manner that </w:t>
      </w:r>
      <w:r w:rsidR="004F1CB7">
        <w:rPr>
          <w:lang w:val="en-GB"/>
        </w:rPr>
        <w:t xml:space="preserve">the ESO can be combined with a request for provisional detention that is subject to the condition that the suspect </w:t>
      </w:r>
      <w:r w:rsidR="009E36E0">
        <w:rPr>
          <w:lang w:val="en-GB"/>
        </w:rPr>
        <w:t>does not comply with</w:t>
      </w:r>
      <w:r w:rsidR="004F1CB7">
        <w:rPr>
          <w:lang w:val="en-GB"/>
        </w:rPr>
        <w:t xml:space="preserve"> the supervision measures. </w:t>
      </w:r>
      <w:r w:rsidR="009E36E0">
        <w:rPr>
          <w:lang w:val="en-GB"/>
        </w:rPr>
        <w:t xml:space="preserve">This will allow the </w:t>
      </w:r>
      <w:r w:rsidR="000B0959">
        <w:rPr>
          <w:lang w:val="en-GB"/>
        </w:rPr>
        <w:t>issu</w:t>
      </w:r>
      <w:r w:rsidR="009E36E0">
        <w:rPr>
          <w:lang w:val="en-GB"/>
        </w:rPr>
        <w:t>ing authority to decide upon the issuing of an EAW without bearing the risk that the EAW cannot be executed because the suspect has gone into hiding.</w:t>
      </w:r>
      <w:r w:rsidR="00400188">
        <w:rPr>
          <w:lang w:val="en-GB"/>
        </w:rPr>
        <w:t xml:space="preserve"> Alternatively, the EU legislator might consider the informal practice that foreign police authorities assist German courts in supervising the suspect (e.g. by informing German courts that the suspect has complied with the instruction to report to the police</w:t>
      </w:r>
      <w:r w:rsidR="000163C9">
        <w:rPr>
          <w:lang w:val="en-GB"/>
        </w:rPr>
        <w:t xml:space="preserve"> of another Member State</w:t>
      </w:r>
      <w:r w:rsidR="00400188">
        <w:rPr>
          <w:lang w:val="en-GB"/>
        </w:rPr>
        <w:t>)</w:t>
      </w:r>
      <w:r w:rsidR="00F96F7B">
        <w:rPr>
          <w:lang w:val="en-GB"/>
        </w:rPr>
        <w:t xml:space="preserve">. </w:t>
      </w:r>
      <w:r w:rsidR="005A6792">
        <w:rPr>
          <w:lang w:val="en-GB"/>
        </w:rPr>
        <w:t>Apparently, t</w:t>
      </w:r>
      <w:r w:rsidR="006C1861">
        <w:rPr>
          <w:lang w:val="en-GB"/>
        </w:rPr>
        <w:t xml:space="preserve">his </w:t>
      </w:r>
      <w:r w:rsidR="00F96F7B" w:rsidRPr="00F96F7B">
        <w:rPr>
          <w:lang w:val="en-GB"/>
        </w:rPr>
        <w:t xml:space="preserve">is a rather flexible approach, </w:t>
      </w:r>
      <w:r w:rsidR="006C1861">
        <w:rPr>
          <w:lang w:val="en-GB"/>
        </w:rPr>
        <w:t xml:space="preserve">the </w:t>
      </w:r>
      <w:r w:rsidR="00F96F7B" w:rsidRPr="00F96F7B">
        <w:rPr>
          <w:lang w:val="en-GB"/>
        </w:rPr>
        <w:t>practicability</w:t>
      </w:r>
      <w:r w:rsidR="006C1861">
        <w:rPr>
          <w:lang w:val="en-GB"/>
        </w:rPr>
        <w:t xml:space="preserve"> of which</w:t>
      </w:r>
      <w:r w:rsidR="00F96F7B" w:rsidRPr="00F96F7B">
        <w:rPr>
          <w:lang w:val="en-GB"/>
        </w:rPr>
        <w:t xml:space="preserve"> depends largely on the </w:t>
      </w:r>
      <w:r w:rsidR="005A6792">
        <w:rPr>
          <w:lang w:val="en-GB"/>
        </w:rPr>
        <w:t>involved institutions and persons</w:t>
      </w:r>
      <w:r w:rsidR="00400188">
        <w:rPr>
          <w:lang w:val="en-GB"/>
        </w:rPr>
        <w:t>.</w:t>
      </w:r>
    </w:p>
    <w:p w14:paraId="29B3AF08" w14:textId="748E7839" w:rsidR="003C4502" w:rsidRDefault="000163C9" w:rsidP="000163C9">
      <w:pPr>
        <w:spacing w:line="360" w:lineRule="auto"/>
        <w:jc w:val="both"/>
        <w:rPr>
          <w:lang w:val="en-GB"/>
        </w:rPr>
      </w:pPr>
      <w:r>
        <w:rPr>
          <w:lang w:val="en-GB"/>
        </w:rPr>
        <w:t>If the instrument aims at ensuring the su</w:t>
      </w:r>
      <w:r w:rsidR="00A723A2">
        <w:rPr>
          <w:lang w:val="en-GB"/>
        </w:rPr>
        <w:t>s</w:t>
      </w:r>
      <w:r>
        <w:rPr>
          <w:lang w:val="en-GB"/>
        </w:rPr>
        <w:t xml:space="preserve">pect’s availability (in the sense that he does not escape from justice), neither the EIO nor the EU Convention on Mutual Assistance are appropriate cooperation instruments. Nevertheless, the use of videoconferences in surrender proceedings </w:t>
      </w:r>
      <w:r w:rsidR="00A723A2">
        <w:rPr>
          <w:lang w:val="en-GB"/>
        </w:rPr>
        <w:t>(</w:t>
      </w:r>
      <w:r w:rsidR="00A723A2">
        <w:rPr>
          <w:lang w:val="en-US"/>
        </w:rPr>
        <w:t>Art. 6 of the Digitali</w:t>
      </w:r>
      <w:r w:rsidR="000F638A">
        <w:rPr>
          <w:lang w:val="en-US"/>
        </w:rPr>
        <w:t>s</w:t>
      </w:r>
      <w:r w:rsidR="00A723A2">
        <w:rPr>
          <w:lang w:val="en-US"/>
        </w:rPr>
        <w:t>ation Regulation; see also section 118a(2)2 CCP)</w:t>
      </w:r>
      <w:r w:rsidR="00A723A2">
        <w:rPr>
          <w:lang w:val="en-GB"/>
        </w:rPr>
        <w:t xml:space="preserve"> </w:t>
      </w:r>
      <w:r>
        <w:rPr>
          <w:lang w:val="en-GB"/>
        </w:rPr>
        <w:t>can significantly improve judicial protection of the arrested person by allowing him to object to the decision to issue a</w:t>
      </w:r>
      <w:r w:rsidR="00127DD2">
        <w:rPr>
          <w:lang w:val="en-GB"/>
        </w:rPr>
        <w:t>n</w:t>
      </w:r>
      <w:r>
        <w:rPr>
          <w:lang w:val="en-GB"/>
        </w:rPr>
        <w:t xml:space="preserve"> EAW (and the underlying national arrest warrant)</w:t>
      </w:r>
      <w:r w:rsidR="00A723A2">
        <w:rPr>
          <w:lang w:val="en-GB"/>
        </w:rPr>
        <w:t>.</w:t>
      </w:r>
    </w:p>
    <w:p w14:paraId="157976C5" w14:textId="122B4466" w:rsidR="00802DC3" w:rsidRDefault="00A723A2" w:rsidP="00802DC3">
      <w:pPr>
        <w:spacing w:line="360" w:lineRule="auto"/>
        <w:jc w:val="both"/>
        <w:rPr>
          <w:lang w:val="en-US"/>
        </w:rPr>
      </w:pPr>
      <w:r>
        <w:rPr>
          <w:lang w:val="en-GB"/>
        </w:rPr>
        <w:t>The transfer of criminal proceedings is an option if the executing Member State has refused to surrender the suspect, but is usually not taken into account as an alternative t</w:t>
      </w:r>
      <w:r w:rsidR="00773918">
        <w:rPr>
          <w:lang w:val="en-GB"/>
        </w:rPr>
        <w:t>o the issuing of a</w:t>
      </w:r>
      <w:r w:rsidR="00127DD2">
        <w:rPr>
          <w:lang w:val="en-GB"/>
        </w:rPr>
        <w:t>n</w:t>
      </w:r>
      <w:r w:rsidR="00773918">
        <w:rPr>
          <w:lang w:val="en-GB"/>
        </w:rPr>
        <w:t xml:space="preserve"> EAW; it is rather a</w:t>
      </w:r>
      <w:r>
        <w:rPr>
          <w:lang w:val="en-GB"/>
        </w:rPr>
        <w:t xml:space="preserve"> </w:t>
      </w:r>
      <w:r w:rsidR="001472CA">
        <w:rPr>
          <w:lang w:val="en-GB"/>
        </w:rPr>
        <w:t>‘</w:t>
      </w:r>
      <w:r>
        <w:rPr>
          <w:lang w:val="en-GB"/>
        </w:rPr>
        <w:t>second best</w:t>
      </w:r>
      <w:r w:rsidR="001472CA">
        <w:rPr>
          <w:lang w:val="en-GB"/>
        </w:rPr>
        <w:t>’</w:t>
      </w:r>
      <w:r>
        <w:rPr>
          <w:lang w:val="en-GB"/>
        </w:rPr>
        <w:t xml:space="preserve"> (remaining) option. In practice, public prosecutors seek to </w:t>
      </w:r>
      <w:r>
        <w:rPr>
          <w:lang w:val="en-GB"/>
        </w:rPr>
        <w:lastRenderedPageBreak/>
        <w:t xml:space="preserve">conclude proceedings by transaction (section 153a CCP) or a penalty order by the court (section 407 CCP). </w:t>
      </w:r>
      <w:r w:rsidR="00437CFB">
        <w:rPr>
          <w:lang w:val="en-GB"/>
        </w:rPr>
        <w:t xml:space="preserve">In the latter case, </w:t>
      </w:r>
      <w:r>
        <w:rPr>
          <w:lang w:val="en-US"/>
        </w:rPr>
        <w:t>detention on remand due to the risk of flight</w:t>
      </w:r>
      <w:r w:rsidR="00437CFB">
        <w:rPr>
          <w:lang w:val="en-US"/>
        </w:rPr>
        <w:t xml:space="preserve"> would be disproportionate if</w:t>
      </w:r>
      <w:r>
        <w:rPr>
          <w:lang w:val="en-US"/>
        </w:rPr>
        <w:t xml:space="preserve"> </w:t>
      </w:r>
      <w:r w:rsidRPr="00D73E40">
        <w:rPr>
          <w:lang w:val="en-US"/>
        </w:rPr>
        <w:t>the accused</w:t>
      </w:r>
      <w:r>
        <w:rPr>
          <w:lang w:val="en-US"/>
        </w:rPr>
        <w:t xml:space="preserve"> person </w:t>
      </w:r>
      <w:r w:rsidRPr="00D73E40">
        <w:rPr>
          <w:lang w:val="en-US"/>
        </w:rPr>
        <w:t>provide</w:t>
      </w:r>
      <w:r>
        <w:rPr>
          <w:lang w:val="en-US"/>
        </w:rPr>
        <w:t>s</w:t>
      </w:r>
      <w:r w:rsidRPr="00D73E40">
        <w:rPr>
          <w:lang w:val="en-US"/>
        </w:rPr>
        <w:t xml:space="preserve"> adequate security for the anticipated fine and the costs of the proceedings </w:t>
      </w:r>
      <w:r>
        <w:rPr>
          <w:lang w:val="en-US"/>
        </w:rPr>
        <w:t>(section 127a CCP).</w:t>
      </w:r>
      <w:r w:rsidR="00437CFB">
        <w:rPr>
          <w:lang w:val="en-US"/>
        </w:rPr>
        <w:t xml:space="preserve"> The existing framework to serve the accused person with summons and other documents, however, does not ensure that he </w:t>
      </w:r>
      <w:r w:rsidR="00437CFB" w:rsidRPr="003901C2">
        <w:rPr>
          <w:lang w:val="en-US"/>
        </w:rPr>
        <w:t>has ac</w:t>
      </w:r>
      <w:r w:rsidR="00437CFB">
        <w:rPr>
          <w:lang w:val="en-US"/>
        </w:rPr>
        <w:t xml:space="preserve">tually become aware of the penalty order. </w:t>
      </w:r>
      <w:r w:rsidR="00773918">
        <w:rPr>
          <w:lang w:val="en-US"/>
        </w:rPr>
        <w:t>A harmoni</w:t>
      </w:r>
      <w:r w:rsidR="002640D8">
        <w:rPr>
          <w:lang w:val="en-US"/>
        </w:rPr>
        <w:t>z</w:t>
      </w:r>
      <w:r w:rsidR="00773918">
        <w:rPr>
          <w:lang w:val="en-US"/>
        </w:rPr>
        <w:t>ed framework for serving summons and other documents</w:t>
      </w:r>
      <w:r w:rsidR="00773918">
        <w:rPr>
          <w:lang w:val="en-GB"/>
        </w:rPr>
        <w:t xml:space="preserve"> (e.g. by electronic service via access points as provided by the Digitalisation Regulation) would facilitate and enhance </w:t>
      </w:r>
      <w:r w:rsidR="00437CFB">
        <w:rPr>
          <w:lang w:val="en-GB"/>
        </w:rPr>
        <w:t>the enforcement of penalty orders</w:t>
      </w:r>
      <w:r w:rsidR="00437CFB">
        <w:rPr>
          <w:lang w:val="en-US"/>
        </w:rPr>
        <w:t>.</w:t>
      </w:r>
    </w:p>
    <w:p w14:paraId="53EEA948" w14:textId="77777777" w:rsidR="00802DC3" w:rsidRDefault="00802DC3" w:rsidP="00802DC3">
      <w:pPr>
        <w:spacing w:line="360" w:lineRule="auto"/>
        <w:jc w:val="both"/>
        <w:rPr>
          <w:lang w:val="en-US"/>
        </w:rPr>
      </w:pPr>
    </w:p>
    <w:p w14:paraId="6C5CE8D3" w14:textId="1455A1A9" w:rsidR="00AF679A" w:rsidRDefault="00437CFB" w:rsidP="00802DC3">
      <w:pPr>
        <w:spacing w:line="360" w:lineRule="auto"/>
        <w:jc w:val="both"/>
        <w:rPr>
          <w:lang w:val="en-GB"/>
        </w:rPr>
      </w:pPr>
      <w:r>
        <w:rPr>
          <w:lang w:val="en-GB"/>
        </w:rPr>
        <w:t xml:space="preserve">In the </w:t>
      </w:r>
      <w:r w:rsidRPr="00437CFB">
        <w:rPr>
          <w:b/>
          <w:lang w:val="en-GB"/>
        </w:rPr>
        <w:t>trial stage</w:t>
      </w:r>
      <w:r>
        <w:rPr>
          <w:lang w:val="en-GB"/>
        </w:rPr>
        <w:t xml:space="preserve">, </w:t>
      </w:r>
      <w:r w:rsidR="00AF679A">
        <w:rPr>
          <w:lang w:val="en-US"/>
        </w:rPr>
        <w:t xml:space="preserve">the (physical) presence of the accused person is mandatory (section 230 CCP). In Germany, trials </w:t>
      </w:r>
      <w:r w:rsidR="00AF679A">
        <w:rPr>
          <w:i/>
          <w:lang w:val="en-US"/>
        </w:rPr>
        <w:t xml:space="preserve">in absentia </w:t>
      </w:r>
      <w:r w:rsidR="00AF679A">
        <w:rPr>
          <w:lang w:val="en-US"/>
        </w:rPr>
        <w:t xml:space="preserve">are permitted in exceptional cases only (section 233(1) CCP). </w:t>
      </w:r>
      <w:r w:rsidR="00D765C0">
        <w:rPr>
          <w:lang w:val="en-US"/>
        </w:rPr>
        <w:t xml:space="preserve">In </w:t>
      </w:r>
      <w:r w:rsidR="00773918">
        <w:rPr>
          <w:lang w:val="en-US"/>
        </w:rPr>
        <w:t>such</w:t>
      </w:r>
      <w:r w:rsidR="00D765C0">
        <w:rPr>
          <w:lang w:val="en-US"/>
        </w:rPr>
        <w:t xml:space="preserve"> cases, </w:t>
      </w:r>
      <w:r w:rsidR="00802DC3">
        <w:rPr>
          <w:lang w:val="en-GB"/>
        </w:rPr>
        <w:t>the mere purpose of interrogating the suspect does not provide sufficient reason to issue a</w:t>
      </w:r>
      <w:r w:rsidR="00127DD2">
        <w:rPr>
          <w:lang w:val="en-GB"/>
        </w:rPr>
        <w:t>n</w:t>
      </w:r>
      <w:r w:rsidR="00802DC3">
        <w:rPr>
          <w:lang w:val="en-GB"/>
        </w:rPr>
        <w:t xml:space="preserve"> EAW. </w:t>
      </w:r>
      <w:r w:rsidR="00D765C0">
        <w:rPr>
          <w:lang w:val="en-GB"/>
        </w:rPr>
        <w:t xml:space="preserve">Instead, </w:t>
      </w:r>
      <w:r w:rsidR="00D765C0">
        <w:rPr>
          <w:lang w:val="en-US"/>
        </w:rPr>
        <w:t xml:space="preserve">the court </w:t>
      </w:r>
      <w:r w:rsidR="00D765C0" w:rsidRPr="0033147B">
        <w:rPr>
          <w:lang w:val="en-GB"/>
        </w:rPr>
        <w:t>may examine the accused person by videoconference outside the hearing (section 233(2)3 CCP) and issue a</w:t>
      </w:r>
      <w:r w:rsidR="001C67F0">
        <w:rPr>
          <w:lang w:val="en-GB"/>
        </w:rPr>
        <w:t>n</w:t>
      </w:r>
      <w:r w:rsidR="00D765C0" w:rsidRPr="0033147B">
        <w:rPr>
          <w:lang w:val="en-GB"/>
        </w:rPr>
        <w:t xml:space="preserve"> EIO to this end; the result of the examination will be introduced as evidence in the trial. </w:t>
      </w:r>
      <w:r w:rsidR="008A5C0B" w:rsidRPr="0033147B">
        <w:rPr>
          <w:lang w:val="en-GB"/>
        </w:rPr>
        <w:t>However, i</w:t>
      </w:r>
      <w:r w:rsidR="00D765C0" w:rsidRPr="0033147B">
        <w:rPr>
          <w:lang w:val="en-GB"/>
        </w:rPr>
        <w:t>t seems that this provision is rarely used in court practice.</w:t>
      </w:r>
    </w:p>
    <w:p w14:paraId="6F9E5B11" w14:textId="6BE82813" w:rsidR="005C64E4" w:rsidRDefault="00D765C0" w:rsidP="00923226">
      <w:pPr>
        <w:spacing w:line="360" w:lineRule="auto"/>
        <w:jc w:val="both"/>
        <w:rPr>
          <w:lang w:val="en-US"/>
        </w:rPr>
      </w:pPr>
      <w:r>
        <w:rPr>
          <w:lang w:val="en-GB"/>
        </w:rPr>
        <w:t>German law requires the accused person to be physically present at the trial; a ‘virtual’ pres</w:t>
      </w:r>
      <w:r w:rsidR="00407EEC">
        <w:rPr>
          <w:lang w:val="en-GB"/>
        </w:rPr>
        <w:t>ence by videoconference is not sufficient</w:t>
      </w:r>
      <w:r>
        <w:rPr>
          <w:lang w:val="en-GB"/>
        </w:rPr>
        <w:t>.</w:t>
      </w:r>
      <w:r w:rsidR="00791186">
        <w:rPr>
          <w:rStyle w:val="Funotenzeichen"/>
          <w:lang w:val="en-GB"/>
        </w:rPr>
        <w:footnoteReference w:id="387"/>
      </w:r>
      <w:r>
        <w:rPr>
          <w:lang w:val="en-GB"/>
        </w:rPr>
        <w:t xml:space="preserve"> Accordingly, a</w:t>
      </w:r>
      <w:r w:rsidR="001C67F0">
        <w:rPr>
          <w:lang w:val="en-GB"/>
        </w:rPr>
        <w:t>n</w:t>
      </w:r>
      <w:r w:rsidR="00407EEC">
        <w:rPr>
          <w:lang w:val="en-GB"/>
        </w:rPr>
        <w:t xml:space="preserve"> EIO to this end</w:t>
      </w:r>
      <w:r>
        <w:rPr>
          <w:lang w:val="en-GB"/>
        </w:rPr>
        <w:t xml:space="preserve"> is not a</w:t>
      </w:r>
      <w:r w:rsidR="00407EEC">
        <w:rPr>
          <w:lang w:val="en-GB"/>
        </w:rPr>
        <w:t>n alternative</w:t>
      </w:r>
      <w:r>
        <w:rPr>
          <w:lang w:val="en-GB"/>
        </w:rPr>
        <w:t xml:space="preserve"> to </w:t>
      </w:r>
      <w:r w:rsidR="00407EEC">
        <w:rPr>
          <w:lang w:val="en-GB"/>
        </w:rPr>
        <w:t>a</w:t>
      </w:r>
      <w:r w:rsidR="00127DD2">
        <w:rPr>
          <w:lang w:val="en-GB"/>
        </w:rPr>
        <w:t>n</w:t>
      </w:r>
      <w:r w:rsidR="00407EEC">
        <w:rPr>
          <w:lang w:val="en-GB"/>
        </w:rPr>
        <w:t xml:space="preserve"> </w:t>
      </w:r>
      <w:r>
        <w:rPr>
          <w:lang w:val="en-GB"/>
        </w:rPr>
        <w:t xml:space="preserve">EAW that shall ensure the suspect’s </w:t>
      </w:r>
      <w:r w:rsidR="00407EEC">
        <w:rPr>
          <w:lang w:val="en-GB"/>
        </w:rPr>
        <w:t xml:space="preserve">availability and </w:t>
      </w:r>
      <w:r>
        <w:rPr>
          <w:lang w:val="en-GB"/>
        </w:rPr>
        <w:t>presence at the trial.</w:t>
      </w:r>
      <w:r w:rsidR="00407EEC">
        <w:rPr>
          <w:lang w:val="en-GB"/>
        </w:rPr>
        <w:t xml:space="preserve"> Again, a</w:t>
      </w:r>
      <w:r w:rsidR="00127DD2">
        <w:rPr>
          <w:lang w:val="en-GB"/>
        </w:rPr>
        <w:t>n</w:t>
      </w:r>
      <w:r w:rsidR="00407EEC">
        <w:rPr>
          <w:lang w:val="en-GB"/>
        </w:rPr>
        <w:t xml:space="preserve"> EAW must be based upon a national arrest warrant that requires a ground for detention (e.g. flight or risk of light). </w:t>
      </w:r>
      <w:r w:rsidR="008A5C0B">
        <w:rPr>
          <w:lang w:val="en-US"/>
        </w:rPr>
        <w:t>In the trial phase, the court may also issue an arrest warrant to ensure the presence of the accused person at the trial (section 230(2) CCP). However, a</w:t>
      </w:r>
      <w:r w:rsidR="00127DD2">
        <w:rPr>
          <w:lang w:val="en-US"/>
        </w:rPr>
        <w:t>n</w:t>
      </w:r>
      <w:r w:rsidR="008A5C0B">
        <w:rPr>
          <w:lang w:val="en-US"/>
        </w:rPr>
        <w:t xml:space="preserve"> EAW that is issued on the basis of such an arrest warrant raises serious concerns with regard to the proportionality principle, but there is no uniform practice on this issue.</w:t>
      </w:r>
      <w:r w:rsidR="00923226">
        <w:rPr>
          <w:lang w:val="en-US"/>
        </w:rPr>
        <w:t xml:space="preserve"> As far as the enforcement of a national arrest warrant is suspended, the trial court may issue a</w:t>
      </w:r>
      <w:r w:rsidR="00127DD2">
        <w:rPr>
          <w:lang w:val="en-US"/>
        </w:rPr>
        <w:t>n</w:t>
      </w:r>
      <w:r w:rsidR="00923226">
        <w:rPr>
          <w:lang w:val="en-US"/>
        </w:rPr>
        <w:t xml:space="preserve"> ESO; in this respect, the considerations on </w:t>
      </w:r>
      <w:r w:rsidR="005C64E4">
        <w:rPr>
          <w:lang w:val="en-US"/>
        </w:rPr>
        <w:t xml:space="preserve">the pre-trial stage apply accordingly to the </w:t>
      </w:r>
      <w:r w:rsidR="00923226">
        <w:rPr>
          <w:lang w:val="en-US"/>
        </w:rPr>
        <w:t>trial stage.</w:t>
      </w:r>
    </w:p>
    <w:p w14:paraId="6090C1DC" w14:textId="79C54FF3" w:rsidR="008A5C0B" w:rsidRDefault="008A5C0B" w:rsidP="005C64E4">
      <w:pPr>
        <w:spacing w:line="360" w:lineRule="auto"/>
        <w:jc w:val="both"/>
        <w:rPr>
          <w:lang w:val="en-US"/>
        </w:rPr>
      </w:pPr>
      <w:r>
        <w:rPr>
          <w:lang w:val="en-US"/>
        </w:rPr>
        <w:t xml:space="preserve">As the accused person has a right (and duty) to be present at the trial, the court must summon him and provide the information necessary to exercise the right to participate in the trial; insofar, the summons should be taken into consideration as a less intrusive means to arrest and detention. In practice, however, it is often difficult to establish whether the summons has been </w:t>
      </w:r>
      <w:r>
        <w:rPr>
          <w:lang w:val="en-US"/>
        </w:rPr>
        <w:lastRenderedPageBreak/>
        <w:t xml:space="preserve">served and the accused is actually aware of the trial. </w:t>
      </w:r>
      <w:r w:rsidR="005C64E4">
        <w:rPr>
          <w:lang w:val="en-US"/>
        </w:rPr>
        <w:t xml:space="preserve">In this respect, a </w:t>
      </w:r>
      <w:r w:rsidR="000801D5">
        <w:rPr>
          <w:lang w:val="en-US"/>
        </w:rPr>
        <w:t>harmonized</w:t>
      </w:r>
      <w:r w:rsidR="005C64E4">
        <w:rPr>
          <w:lang w:val="en-US"/>
        </w:rPr>
        <w:t xml:space="preserve"> framework for serving summons and other documents would enhance cooperation, too</w:t>
      </w:r>
      <w:r w:rsidR="00357ADD">
        <w:rPr>
          <w:lang w:val="en-US"/>
        </w:rPr>
        <w:t xml:space="preserve"> (see </w:t>
      </w:r>
      <w:r w:rsidR="00357ADD">
        <w:rPr>
          <w:i/>
          <w:lang w:val="en-US"/>
        </w:rPr>
        <w:t>supra</w:t>
      </w:r>
      <w:r w:rsidR="00357ADD">
        <w:rPr>
          <w:lang w:val="en-US"/>
        </w:rPr>
        <w:t xml:space="preserve"> with regard to the pre-trial stage)</w:t>
      </w:r>
      <w:r w:rsidR="00165C39">
        <w:rPr>
          <w:lang w:val="en-US"/>
        </w:rPr>
        <w:t xml:space="preserve"> by providing a model to ensure that the accused person has actually obtained knowledge</w:t>
      </w:r>
      <w:r w:rsidR="005C64E4">
        <w:rPr>
          <w:lang w:val="en-US"/>
        </w:rPr>
        <w:t>. This framework could also provide guidance about the warnings for the accused person that he will be arrested and brought before court by issuing and executing a</w:t>
      </w:r>
      <w:r w:rsidR="00127DD2">
        <w:rPr>
          <w:lang w:val="en-US"/>
        </w:rPr>
        <w:t>n</w:t>
      </w:r>
      <w:r w:rsidR="005C64E4">
        <w:rPr>
          <w:lang w:val="en-US"/>
        </w:rPr>
        <w:t xml:space="preserve"> EAW (insofar as this option is in conformity with the proportionality principle).</w:t>
      </w:r>
    </w:p>
    <w:p w14:paraId="2CE4A3B3" w14:textId="77777777" w:rsidR="00A83BD7" w:rsidRDefault="00923226" w:rsidP="00292BA2">
      <w:pPr>
        <w:spacing w:line="360" w:lineRule="auto"/>
        <w:jc w:val="both"/>
        <w:rPr>
          <w:lang w:val="en-US"/>
        </w:rPr>
      </w:pPr>
      <w:r>
        <w:rPr>
          <w:lang w:val="en-US"/>
        </w:rPr>
        <w:t>If the presence and participation of the accused person in the trial cannot be ensured by the aforementioned instruments, alternatives to trial and judgment may be taken into consideration, e.g. a transaction (section 153a(2) CCP) or a penalty order (section 408a CCP)</w:t>
      </w:r>
      <w:r w:rsidR="00357ADD">
        <w:rPr>
          <w:lang w:val="en-US"/>
        </w:rPr>
        <w:t xml:space="preserve">; the enforcement of the latter requires an effective mechanism for serving penalty orders (see </w:t>
      </w:r>
      <w:r w:rsidR="00357ADD">
        <w:rPr>
          <w:i/>
          <w:lang w:val="en-US"/>
        </w:rPr>
        <w:t>supra</w:t>
      </w:r>
      <w:r w:rsidR="00357ADD">
        <w:rPr>
          <w:lang w:val="en-US"/>
        </w:rPr>
        <w:t xml:space="preserve"> with regard to the pre-trial stage). In contrast, even though German law allows for transfer of criminal proceedings </w:t>
      </w:r>
      <w:r w:rsidR="0044646D">
        <w:rPr>
          <w:lang w:val="en-US"/>
        </w:rPr>
        <w:t>in the trial stage, this cooperation instrument is used in the pre-trial stage</w:t>
      </w:r>
      <w:r w:rsidR="00292BA2">
        <w:rPr>
          <w:lang w:val="en-US"/>
        </w:rPr>
        <w:t xml:space="preserve"> rather than in the trial stage.</w:t>
      </w:r>
    </w:p>
    <w:p w14:paraId="57EA06A8" w14:textId="5A68CF72" w:rsidR="00292BA2" w:rsidRDefault="00292BA2" w:rsidP="00292BA2">
      <w:pPr>
        <w:spacing w:line="360" w:lineRule="auto"/>
        <w:jc w:val="both"/>
        <w:rPr>
          <w:lang w:val="en-US"/>
        </w:rPr>
      </w:pPr>
      <w:r>
        <w:rPr>
          <w:lang w:val="en-US"/>
        </w:rPr>
        <w:t xml:space="preserve"> </w:t>
      </w:r>
    </w:p>
    <w:p w14:paraId="36566771" w14:textId="7B73137E" w:rsidR="00147457" w:rsidRDefault="0044646D" w:rsidP="009034E1">
      <w:pPr>
        <w:spacing w:line="360" w:lineRule="auto"/>
        <w:jc w:val="both"/>
        <w:rPr>
          <w:lang w:val="en-GB"/>
        </w:rPr>
      </w:pPr>
      <w:r>
        <w:rPr>
          <w:lang w:val="en-GB"/>
        </w:rPr>
        <w:t xml:space="preserve">In the </w:t>
      </w:r>
      <w:r w:rsidRPr="0044646D">
        <w:rPr>
          <w:b/>
          <w:lang w:val="en-GB"/>
        </w:rPr>
        <w:t>enforcement stage</w:t>
      </w:r>
      <w:r>
        <w:rPr>
          <w:lang w:val="en-GB"/>
        </w:rPr>
        <w:t xml:space="preserve">, </w:t>
      </w:r>
      <w:r w:rsidR="00CC4AAE">
        <w:rPr>
          <w:lang w:val="en-GB"/>
        </w:rPr>
        <w:t xml:space="preserve">EU law distinguishes </w:t>
      </w:r>
      <w:r w:rsidR="00292BA2">
        <w:rPr>
          <w:lang w:val="en-GB"/>
        </w:rPr>
        <w:t xml:space="preserve">the transnational enforcement of custodial sentences </w:t>
      </w:r>
      <w:r w:rsidR="00CC4AAE">
        <w:rPr>
          <w:lang w:val="en-GB"/>
        </w:rPr>
        <w:t xml:space="preserve">on the one hand, and the enforcement of alternative sanctions and probation decisions on the other. As the German sanctioning system does not provide for composite sentences (i.e. a combination of conditional and unconditional sentences), this is not an issue for the </w:t>
      </w:r>
      <w:r w:rsidR="00601188">
        <w:rPr>
          <w:lang w:val="en-GB"/>
        </w:rPr>
        <w:t>enforcing authorities in Germany</w:t>
      </w:r>
      <w:r w:rsidR="00241FC5">
        <w:rPr>
          <w:lang w:val="en-GB"/>
        </w:rPr>
        <w:t xml:space="preserve"> </w:t>
      </w:r>
      <w:r w:rsidR="005A6792">
        <w:rPr>
          <w:lang w:val="en-GB"/>
        </w:rPr>
        <w:t xml:space="preserve">whereas incoming requests are dealt with under the regime of FD 2008/909/JHA only </w:t>
      </w:r>
      <w:r w:rsidR="00241FC5">
        <w:rPr>
          <w:lang w:val="en-GB"/>
        </w:rPr>
        <w:t>(see</w:t>
      </w:r>
      <w:r w:rsidR="00147457">
        <w:rPr>
          <w:lang w:val="en-GB"/>
        </w:rPr>
        <w:t xml:space="preserve"> </w:t>
      </w:r>
      <w:r w:rsidR="00147457">
        <w:rPr>
          <w:i/>
          <w:lang w:val="en-GB"/>
        </w:rPr>
        <w:t xml:space="preserve">supra </w:t>
      </w:r>
      <w:r w:rsidR="00147457">
        <w:rPr>
          <w:lang w:val="en-GB"/>
        </w:rPr>
        <w:t>3.1.).</w:t>
      </w:r>
    </w:p>
    <w:p w14:paraId="20189186" w14:textId="3F829CAB" w:rsidR="00CC4AAE" w:rsidRDefault="00CC4AAE" w:rsidP="00147457">
      <w:pPr>
        <w:spacing w:line="360" w:lineRule="auto"/>
        <w:jc w:val="both"/>
        <w:rPr>
          <w:lang w:val="en-GB"/>
        </w:rPr>
      </w:pPr>
    </w:p>
    <w:p w14:paraId="4A0118C6" w14:textId="18A71401" w:rsidR="00601188" w:rsidRDefault="00601188" w:rsidP="00147457">
      <w:pPr>
        <w:spacing w:line="360" w:lineRule="auto"/>
        <w:jc w:val="both"/>
        <w:rPr>
          <w:lang w:val="en-GB"/>
        </w:rPr>
      </w:pPr>
      <w:r>
        <w:rPr>
          <w:lang w:val="en-GB"/>
        </w:rPr>
        <w:t xml:space="preserve">The transfer of enforcement of custodial sentences </w:t>
      </w:r>
      <w:r w:rsidR="00292BA2">
        <w:rPr>
          <w:lang w:val="en-GB"/>
        </w:rPr>
        <w:t xml:space="preserve">must balance the interests of the convicted person in his reintegration of society and the public interest in the effective enforcement of the imposed sentence. In general, the first criterion supports a transfer of enforcement to the prisoner’s </w:t>
      </w:r>
      <w:r w:rsidR="00A83BD7">
        <w:rPr>
          <w:lang w:val="en-GB"/>
        </w:rPr>
        <w:t xml:space="preserve">home country in an early stage; nevertheless, the divergent laws on sentence enforcement, probation and conditional release have given rise to concerns that the executing state will release the convicted person before he has served a considerable part of the sentence. To some extent, transparent communication and consultations can address these concerns, but </w:t>
      </w:r>
      <w:r w:rsidR="00CC4AAE">
        <w:rPr>
          <w:lang w:val="en-GB"/>
        </w:rPr>
        <w:t xml:space="preserve">they </w:t>
      </w:r>
      <w:r w:rsidR="00A83BD7">
        <w:rPr>
          <w:lang w:val="en-GB"/>
        </w:rPr>
        <w:t>cannot overcome the problems resulting from divergent enforcement regimes.</w:t>
      </w:r>
      <w:r w:rsidR="0089421A">
        <w:rPr>
          <w:lang w:val="en-GB"/>
        </w:rPr>
        <w:t xml:space="preserve"> The patchwork of transnational sentence enforcement might be addressed by calling upon the trial court to take into consideration that the sentence will be executed in another Member State. This approach, however, </w:t>
      </w:r>
      <w:r w:rsidR="00CC4AAE">
        <w:rPr>
          <w:lang w:val="en-GB"/>
        </w:rPr>
        <w:t>faces two objections</w:t>
      </w:r>
      <w:r w:rsidR="0089421A">
        <w:rPr>
          <w:lang w:val="en-GB"/>
        </w:rPr>
        <w:t xml:space="preserve">: 1) The trial court cannot anticipate if (and when) the enforcing authority will transfer the enforcement of the sentence (unless the judgment is based upon a negotiated agreement that includes the corresponding assurance of the public </w:t>
      </w:r>
      <w:r w:rsidR="0089421A">
        <w:rPr>
          <w:lang w:val="en-GB"/>
        </w:rPr>
        <w:lastRenderedPageBreak/>
        <w:t>prosecution service). 2) The fact that the convicted person is a national of another Member State and will potentially serve his</w:t>
      </w:r>
      <w:r w:rsidR="00815060">
        <w:rPr>
          <w:lang w:val="en-GB"/>
        </w:rPr>
        <w:t xml:space="preserve"> </w:t>
      </w:r>
      <w:r w:rsidR="00CC4AAE">
        <w:rPr>
          <w:lang w:val="en-GB"/>
        </w:rPr>
        <w:t>sentence in that state is not considered a legitimate criterion for sentencing (see section 46 PC).</w:t>
      </w:r>
      <w:r>
        <w:rPr>
          <w:lang w:val="en-GB"/>
        </w:rPr>
        <w:t xml:space="preserve"> </w:t>
      </w:r>
    </w:p>
    <w:p w14:paraId="5A873FD0" w14:textId="77777777" w:rsidR="0084430B" w:rsidRDefault="00601188" w:rsidP="0084430B">
      <w:pPr>
        <w:spacing w:line="360" w:lineRule="auto"/>
        <w:jc w:val="both"/>
        <w:rPr>
          <w:lang w:val="en-GB"/>
        </w:rPr>
      </w:pPr>
      <w:r>
        <w:rPr>
          <w:lang w:val="en-GB"/>
        </w:rPr>
        <w:t xml:space="preserve">As far as the transnational enforcement of alternative sanctions and probation decisions is concerned, the scope of the law implementing FD 2008/947/JHA for Germany as the sentencing Member State is limited to probation decisions, but does not extend to alternative sanctions </w:t>
      </w:r>
      <w:r w:rsidR="0083381B">
        <w:rPr>
          <w:lang w:val="en-GB"/>
        </w:rPr>
        <w:t xml:space="preserve">(under the Youth Courts Act) </w:t>
      </w:r>
      <w:r>
        <w:rPr>
          <w:lang w:val="en-GB"/>
        </w:rPr>
        <w:t xml:space="preserve">and conditional sentences; </w:t>
      </w:r>
      <w:r w:rsidR="00773918" w:rsidRPr="00773918">
        <w:rPr>
          <w:lang w:val="en-GB"/>
        </w:rPr>
        <w:t xml:space="preserve">due to the divergent sanctioning regimes </w:t>
      </w:r>
      <w:r w:rsidR="0083381B">
        <w:rPr>
          <w:lang w:val="en-GB"/>
        </w:rPr>
        <w:t xml:space="preserve">among the Member States, </w:t>
      </w:r>
      <w:r w:rsidR="00773918" w:rsidRPr="00773918">
        <w:rPr>
          <w:lang w:val="en-GB"/>
        </w:rPr>
        <w:t xml:space="preserve">supervision of juvenile offenders </w:t>
      </w:r>
      <w:r w:rsidR="0083381B">
        <w:rPr>
          <w:lang w:val="en-GB"/>
        </w:rPr>
        <w:t>is considered to be</w:t>
      </w:r>
      <w:r w:rsidR="00773918" w:rsidRPr="00773918">
        <w:rPr>
          <w:lang w:val="en-GB"/>
        </w:rPr>
        <w:t xml:space="preserve"> a matter for German courts only</w:t>
      </w:r>
      <w:r>
        <w:rPr>
          <w:lang w:val="en-GB"/>
        </w:rPr>
        <w:t>.</w:t>
      </w:r>
      <w:r w:rsidR="0083381B">
        <w:rPr>
          <w:lang w:val="en-GB"/>
        </w:rPr>
        <w:t xml:space="preserve"> Moreover, the small number of cases supports the view that German court are reluctant to transfer supervision and the enforcement of custodial sentence, but tend to retain the competence to decide on whether to revoke suspension of enforcement and/or adapt probation measures. Instead, there is an informal practice to request authorities of another Member State (e.g. the probation service) for assistance (e.g. by keeping in contact with the convicted person). This approach avoids the aforementioned problems resulting from divergent enforcement regimes. </w:t>
      </w:r>
    </w:p>
    <w:p w14:paraId="3456F291" w14:textId="5CB71DD6" w:rsidR="00DA52A9" w:rsidRDefault="0084430B" w:rsidP="0084430B">
      <w:pPr>
        <w:spacing w:line="360" w:lineRule="auto"/>
        <w:jc w:val="both"/>
        <w:rPr>
          <w:lang w:val="en-GB"/>
        </w:rPr>
      </w:pPr>
      <w:r>
        <w:rPr>
          <w:lang w:val="en-GB"/>
        </w:rPr>
        <w:t>If the convicted person is in another Member State, the enforcing authority may summon him</w:t>
      </w:r>
      <w:r w:rsidR="00BA68A1">
        <w:rPr>
          <w:lang w:val="en-GB"/>
        </w:rPr>
        <w:t xml:space="preserve"> </w:t>
      </w:r>
      <w:r>
        <w:rPr>
          <w:lang w:val="en-GB"/>
        </w:rPr>
        <w:t>to serve the s</w:t>
      </w:r>
      <w:r w:rsidR="00DA52A9">
        <w:rPr>
          <w:lang w:val="en-GB"/>
        </w:rPr>
        <w:t>entence</w:t>
      </w:r>
      <w:r>
        <w:rPr>
          <w:lang w:val="en-GB"/>
        </w:rPr>
        <w:t>. This</w:t>
      </w:r>
      <w:r w:rsidRPr="0084430B">
        <w:rPr>
          <w:lang w:val="en-GB"/>
        </w:rPr>
        <w:t xml:space="preserve"> </w:t>
      </w:r>
      <w:r>
        <w:rPr>
          <w:lang w:val="en-GB"/>
        </w:rPr>
        <w:t>is</w:t>
      </w:r>
      <w:r w:rsidRPr="0084430B">
        <w:rPr>
          <w:lang w:val="en-GB"/>
        </w:rPr>
        <w:t xml:space="preserve"> be appropriate where the residence of the convicted person is known, but this instrument is rarely used in judicial practice</w:t>
      </w:r>
      <w:r>
        <w:rPr>
          <w:lang w:val="en-GB"/>
        </w:rPr>
        <w:t xml:space="preserve">. If the whereabouts of the convicted person </w:t>
      </w:r>
      <w:r w:rsidR="00072E16">
        <w:rPr>
          <w:lang w:val="en-GB"/>
        </w:rPr>
        <w:t>are</w:t>
      </w:r>
      <w:r>
        <w:rPr>
          <w:lang w:val="en-GB"/>
        </w:rPr>
        <w:t xml:space="preserve"> unknown, the enforcing authority will apply to the court for </w:t>
      </w:r>
      <w:r w:rsidR="00BE44D2">
        <w:rPr>
          <w:lang w:val="en-GB"/>
        </w:rPr>
        <w:t xml:space="preserve">issuing </w:t>
      </w:r>
      <w:r>
        <w:rPr>
          <w:lang w:val="en-GB"/>
        </w:rPr>
        <w:t>a</w:t>
      </w:r>
      <w:r w:rsidR="00460C9F">
        <w:rPr>
          <w:lang w:val="en-GB"/>
        </w:rPr>
        <w:t>n</w:t>
      </w:r>
      <w:r>
        <w:rPr>
          <w:lang w:val="en-GB"/>
        </w:rPr>
        <w:t xml:space="preserve"> EAW</w:t>
      </w:r>
      <w:r w:rsidR="00BE44D2">
        <w:rPr>
          <w:lang w:val="en-GB"/>
        </w:rPr>
        <w:t xml:space="preserve"> for the purpose of enforcement</w:t>
      </w:r>
      <w:r>
        <w:rPr>
          <w:lang w:val="en-GB"/>
        </w:rPr>
        <w:t>.</w:t>
      </w:r>
    </w:p>
    <w:p w14:paraId="11C16EE2" w14:textId="7D5D1B15" w:rsidR="0084430B" w:rsidRDefault="00BE44D2" w:rsidP="0084430B">
      <w:pPr>
        <w:spacing w:line="360" w:lineRule="auto"/>
        <w:jc w:val="both"/>
        <w:rPr>
          <w:lang w:val="en-GB"/>
        </w:rPr>
      </w:pPr>
      <w:r>
        <w:rPr>
          <w:lang w:val="en-GB"/>
        </w:rPr>
        <w:t>The final judgment notwithstanding, the enforcing authority may initiate a</w:t>
      </w:r>
      <w:r w:rsidR="0084430B">
        <w:rPr>
          <w:lang w:val="en-GB"/>
        </w:rPr>
        <w:t xml:space="preserve"> tran</w:t>
      </w:r>
      <w:r>
        <w:rPr>
          <w:lang w:val="en-GB"/>
        </w:rPr>
        <w:t xml:space="preserve">sfer of criminal proceedings as long as the sentence enforcement is not or has not been enforced (Art. 54 CISA); in practice, however, judicial authorities seek to enforce the judgment that has already been delivered. </w:t>
      </w:r>
    </w:p>
    <w:p w14:paraId="6429B7B1" w14:textId="77E4DF8C" w:rsidR="00601188" w:rsidRDefault="00601188" w:rsidP="00777A20">
      <w:pPr>
        <w:spacing w:after="160" w:line="259" w:lineRule="auto"/>
        <w:jc w:val="both"/>
        <w:rPr>
          <w:lang w:val="en-GB"/>
        </w:rPr>
      </w:pPr>
    </w:p>
    <w:p w14:paraId="1C27E8B2" w14:textId="1AA3D6BA" w:rsidR="00AD2A9D" w:rsidRDefault="00AD2A9D" w:rsidP="00777A20">
      <w:pPr>
        <w:spacing w:after="160" w:line="259" w:lineRule="auto"/>
        <w:jc w:val="both"/>
        <w:rPr>
          <w:lang w:val="en-GB"/>
        </w:rPr>
      </w:pPr>
    </w:p>
    <w:p w14:paraId="1A715F49" w14:textId="0A613277" w:rsidR="003F111F" w:rsidRDefault="003F111F" w:rsidP="00777A20">
      <w:pPr>
        <w:spacing w:after="160" w:line="259" w:lineRule="auto"/>
        <w:jc w:val="both"/>
        <w:rPr>
          <w:lang w:val="en-GB"/>
        </w:rPr>
      </w:pPr>
    </w:p>
    <w:p w14:paraId="4DD9A285" w14:textId="313CB75D" w:rsidR="003F111F" w:rsidRDefault="003F111F" w:rsidP="00777A20">
      <w:pPr>
        <w:spacing w:after="160" w:line="259" w:lineRule="auto"/>
        <w:jc w:val="both"/>
        <w:rPr>
          <w:lang w:val="en-GB"/>
        </w:rPr>
      </w:pPr>
    </w:p>
    <w:p w14:paraId="0153259C" w14:textId="6DD67556" w:rsidR="003F111F" w:rsidRDefault="003F111F" w:rsidP="00777A20">
      <w:pPr>
        <w:spacing w:after="160" w:line="259" w:lineRule="auto"/>
        <w:jc w:val="both"/>
        <w:rPr>
          <w:lang w:val="en-GB"/>
        </w:rPr>
      </w:pPr>
    </w:p>
    <w:p w14:paraId="57604FC4" w14:textId="24E0EA65" w:rsidR="003F111F" w:rsidRDefault="003F111F" w:rsidP="00777A20">
      <w:pPr>
        <w:spacing w:after="160" w:line="259" w:lineRule="auto"/>
        <w:jc w:val="both"/>
        <w:rPr>
          <w:lang w:val="en-GB"/>
        </w:rPr>
      </w:pPr>
    </w:p>
    <w:p w14:paraId="638CF683" w14:textId="31D9E6EB" w:rsidR="003F111F" w:rsidRDefault="003F111F" w:rsidP="00777A20">
      <w:pPr>
        <w:spacing w:after="160" w:line="259" w:lineRule="auto"/>
        <w:jc w:val="both"/>
        <w:rPr>
          <w:lang w:val="en-GB"/>
        </w:rPr>
      </w:pPr>
    </w:p>
    <w:p w14:paraId="0F7C8B5B" w14:textId="37FAEE90" w:rsidR="003F111F" w:rsidRDefault="003F111F" w:rsidP="00777A20">
      <w:pPr>
        <w:spacing w:after="160" w:line="259" w:lineRule="auto"/>
        <w:jc w:val="both"/>
        <w:rPr>
          <w:lang w:val="en-GB"/>
        </w:rPr>
      </w:pPr>
    </w:p>
    <w:p w14:paraId="29B9EE7C" w14:textId="77777777" w:rsidR="00BE1205" w:rsidRDefault="00BE1205" w:rsidP="003F111F">
      <w:pPr>
        <w:spacing w:line="360" w:lineRule="auto"/>
        <w:rPr>
          <w:b/>
        </w:rPr>
      </w:pPr>
    </w:p>
    <w:p w14:paraId="548FB66D" w14:textId="51439BB9" w:rsidR="003F111F" w:rsidRDefault="003F111F" w:rsidP="003F111F">
      <w:pPr>
        <w:spacing w:line="360" w:lineRule="auto"/>
        <w:rPr>
          <w:b/>
        </w:rPr>
      </w:pPr>
      <w:r>
        <w:rPr>
          <w:b/>
        </w:rPr>
        <w:lastRenderedPageBreak/>
        <w:t>Literature</w:t>
      </w:r>
    </w:p>
    <w:p w14:paraId="5D921A3B" w14:textId="77777777" w:rsidR="003F111F" w:rsidRPr="00A454D0" w:rsidRDefault="003F111F" w:rsidP="003F111F">
      <w:pPr>
        <w:spacing w:line="360" w:lineRule="auto"/>
        <w:rPr>
          <w: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8"/>
        <w:gridCol w:w="6768"/>
      </w:tblGrid>
      <w:tr w:rsidR="003F111F" w:rsidRPr="007542BC" w14:paraId="11899780" w14:textId="77777777" w:rsidTr="00BE1E22">
        <w:tc>
          <w:tcPr>
            <w:tcW w:w="9062" w:type="dxa"/>
            <w:gridSpan w:val="2"/>
          </w:tcPr>
          <w:p w14:paraId="28564B0A" w14:textId="3BA9F14C" w:rsidR="003F111F" w:rsidRPr="00DA29BA" w:rsidRDefault="003F111F" w:rsidP="00BE1E22">
            <w:pPr>
              <w:spacing w:line="360" w:lineRule="auto"/>
              <w:rPr>
                <w:lang w:val="en-US" w:eastAsia="de-DE"/>
              </w:rPr>
            </w:pPr>
            <w:r w:rsidRPr="00DA29BA">
              <w:rPr>
                <w:lang w:val="en-US" w:eastAsia="de-DE"/>
              </w:rPr>
              <w:t>Albers, Pim/Beauvais, Pascal/Bohnert, Jean-Fran</w:t>
            </w:r>
            <w:r w:rsidRPr="00DA29BA">
              <w:rPr>
                <w:rStyle w:val="d9fyld"/>
                <w:bCs/>
                <w:lang w:val="en-US"/>
              </w:rPr>
              <w:t>ç</w:t>
            </w:r>
            <w:r w:rsidRPr="00DA29BA">
              <w:rPr>
                <w:rStyle w:val="d9fyld"/>
                <w:rFonts w:eastAsiaTheme="majorEastAsia"/>
                <w:bCs/>
                <w:lang w:val="en-US"/>
              </w:rPr>
              <w:t xml:space="preserve">ois/Bose, Martin/Langbroek, </w:t>
            </w:r>
            <w:r>
              <w:rPr>
                <w:rStyle w:val="d9fyld"/>
                <w:rFonts w:eastAsiaTheme="majorEastAsia"/>
                <w:bCs/>
                <w:lang w:val="en-US"/>
              </w:rPr>
              <w:t xml:space="preserve">   </w:t>
            </w:r>
            <w:r w:rsidRPr="00DA29BA">
              <w:rPr>
                <w:rStyle w:val="d9fyld"/>
                <w:rFonts w:eastAsiaTheme="majorEastAsia"/>
                <w:bCs/>
                <w:lang w:val="en-US"/>
              </w:rPr>
              <w:t>Philip/Renier, Alain/Wahl, Thomas (Eds.), Final report: Towards a common evaluation framework to assess mutual trust in the field of EU judicial cooperation in criminal matters, Den Haag 2013</w:t>
            </w:r>
          </w:p>
        </w:tc>
      </w:tr>
      <w:tr w:rsidR="003F111F" w:rsidRPr="00E33927" w14:paraId="3622384D" w14:textId="77777777" w:rsidTr="00BE1E22">
        <w:tc>
          <w:tcPr>
            <w:tcW w:w="9062" w:type="dxa"/>
            <w:gridSpan w:val="2"/>
          </w:tcPr>
          <w:p w14:paraId="6685CD4F" w14:textId="77777777" w:rsidR="003F111F" w:rsidRPr="00DA29BA" w:rsidRDefault="003F111F" w:rsidP="00BE1E22">
            <w:pPr>
              <w:spacing w:line="360" w:lineRule="auto"/>
              <w:rPr>
                <w:lang w:val="en-US" w:eastAsia="de-DE"/>
              </w:rPr>
            </w:pPr>
          </w:p>
        </w:tc>
      </w:tr>
      <w:tr w:rsidR="003F111F" w:rsidRPr="00CC2AD6" w14:paraId="1B7788B0" w14:textId="77777777" w:rsidTr="00BE1E22">
        <w:tc>
          <w:tcPr>
            <w:tcW w:w="9062" w:type="dxa"/>
            <w:gridSpan w:val="2"/>
          </w:tcPr>
          <w:p w14:paraId="59D6AB54" w14:textId="77777777" w:rsidR="003F111F" w:rsidRPr="00DA29BA" w:rsidRDefault="003F111F" w:rsidP="00BE1E22">
            <w:pPr>
              <w:spacing w:line="360" w:lineRule="auto"/>
              <w:rPr>
                <w:lang w:eastAsia="de-DE"/>
              </w:rPr>
            </w:pPr>
            <w:r w:rsidRPr="00DA29BA">
              <w:rPr>
                <w:lang w:eastAsia="de-DE"/>
              </w:rPr>
              <w:t>Ambos, Kai/König, Stefan/Rackow, Peter (Eds.), Rechthilferecht in Strafsachen, 2nd ed., Baden-Baden 2020</w:t>
            </w:r>
          </w:p>
        </w:tc>
      </w:tr>
      <w:tr w:rsidR="003F111F" w:rsidRPr="00CC2AD6" w14:paraId="10F47A0F" w14:textId="77777777" w:rsidTr="00BE1E22">
        <w:tc>
          <w:tcPr>
            <w:tcW w:w="9062" w:type="dxa"/>
            <w:gridSpan w:val="2"/>
          </w:tcPr>
          <w:p w14:paraId="53C3933D" w14:textId="77777777" w:rsidR="003F111F" w:rsidRPr="00CC2AD6" w:rsidRDefault="003F111F" w:rsidP="00BE1E22">
            <w:pPr>
              <w:spacing w:line="360" w:lineRule="auto"/>
              <w:rPr>
                <w:lang w:eastAsia="de-DE"/>
              </w:rPr>
            </w:pPr>
          </w:p>
        </w:tc>
      </w:tr>
      <w:tr w:rsidR="003F111F" w:rsidRPr="00BF729C" w14:paraId="7A931526" w14:textId="77777777" w:rsidTr="00BE1E22">
        <w:tc>
          <w:tcPr>
            <w:tcW w:w="9062" w:type="dxa"/>
            <w:gridSpan w:val="2"/>
          </w:tcPr>
          <w:p w14:paraId="0DFB3E56" w14:textId="77777777" w:rsidR="003F111F" w:rsidRPr="00BE1205" w:rsidRDefault="003F111F" w:rsidP="00BE1E22">
            <w:pPr>
              <w:spacing w:line="360" w:lineRule="auto"/>
              <w:rPr>
                <w:lang w:val="nl-NL" w:eastAsia="de-DE"/>
              </w:rPr>
            </w:pPr>
            <w:r w:rsidRPr="00BE1205">
              <w:rPr>
                <w:i/>
                <w:lang w:val="nl-NL" w:eastAsia="de-DE"/>
              </w:rPr>
              <w:t>Aps, Peter/Bitzilekis, Nikolaos/Bogdan, Sergiu/Elholm, Thomas/Foffani, Luigi/Frände, Dan/Fuchs, Helmut/Helenius, Dan/Kaiafa-Gbandi, Maria/Leblois-Happe, Jocelyne/Nieto Martín, Adán/Satzger, Helmut/Suominen, Annika/Symeonidu-Kastanidou, Elisavet/Zerbes, Ingeborg/Zimmermann, Frank</w:t>
            </w:r>
            <w:r w:rsidRPr="00BE1205">
              <w:rPr>
                <w:lang w:val="nl-NL" w:eastAsia="de-DE"/>
              </w:rPr>
              <w:t>, A Manifesto on European Criminal Procedure Law, (2013) Zeitschrift für internationale Strafrechtsdogmatik (ZIS), 430-446</w:t>
            </w:r>
          </w:p>
        </w:tc>
      </w:tr>
      <w:tr w:rsidR="003F111F" w:rsidRPr="00BF729C" w14:paraId="330A2A76" w14:textId="77777777" w:rsidTr="00BE1E22">
        <w:tc>
          <w:tcPr>
            <w:tcW w:w="9062" w:type="dxa"/>
            <w:gridSpan w:val="2"/>
          </w:tcPr>
          <w:p w14:paraId="779F3D93" w14:textId="77777777" w:rsidR="003F111F" w:rsidRPr="00BE1205" w:rsidRDefault="003F111F" w:rsidP="00BE1E22">
            <w:pPr>
              <w:spacing w:line="360" w:lineRule="auto"/>
              <w:rPr>
                <w:i/>
                <w:lang w:val="nl-NL" w:eastAsia="de-DE"/>
              </w:rPr>
            </w:pPr>
          </w:p>
        </w:tc>
      </w:tr>
      <w:tr w:rsidR="003F111F" w:rsidRPr="007D1D54" w14:paraId="66D11A68" w14:textId="77777777" w:rsidTr="00BE1E22">
        <w:tc>
          <w:tcPr>
            <w:tcW w:w="9062" w:type="dxa"/>
            <w:gridSpan w:val="2"/>
          </w:tcPr>
          <w:p w14:paraId="280BC6A9" w14:textId="77777777" w:rsidR="003F111F" w:rsidRPr="00DA29BA" w:rsidRDefault="003F111F" w:rsidP="00BE1E22">
            <w:pPr>
              <w:spacing w:line="360" w:lineRule="auto"/>
              <w:rPr>
                <w:lang w:eastAsia="de-DE"/>
              </w:rPr>
            </w:pPr>
            <w:r w:rsidRPr="00DA29BA">
              <w:rPr>
                <w:lang w:eastAsia="de-DE"/>
              </w:rPr>
              <w:t>Barthe, Christoph/Gericke, Jan (Eds.), Karlsruher Kommentar zur Strafprozessordnung – mit GVG, EGGVG und EMRK, 9th ed., München 2023</w:t>
            </w:r>
          </w:p>
        </w:tc>
      </w:tr>
      <w:tr w:rsidR="003F111F" w:rsidRPr="007D1D54" w14:paraId="31DBAE30" w14:textId="77777777" w:rsidTr="00BE1E22">
        <w:tc>
          <w:tcPr>
            <w:tcW w:w="9062" w:type="dxa"/>
            <w:gridSpan w:val="2"/>
          </w:tcPr>
          <w:p w14:paraId="7EEEFFE3" w14:textId="77777777" w:rsidR="003F111F" w:rsidRPr="00DA29BA" w:rsidRDefault="003F111F" w:rsidP="00BE1E22">
            <w:pPr>
              <w:spacing w:line="360" w:lineRule="auto"/>
              <w:rPr>
                <w:lang w:eastAsia="de-DE"/>
              </w:rPr>
            </w:pPr>
          </w:p>
        </w:tc>
      </w:tr>
      <w:tr w:rsidR="003F111F" w:rsidRPr="007D1D54" w14:paraId="0F9D2D5E" w14:textId="77777777" w:rsidTr="00BE1E22">
        <w:tc>
          <w:tcPr>
            <w:tcW w:w="9062" w:type="dxa"/>
            <w:gridSpan w:val="2"/>
          </w:tcPr>
          <w:p w14:paraId="53B631B1" w14:textId="57C9F2C1" w:rsidR="003F111F" w:rsidRPr="00DA29BA" w:rsidRDefault="003F111F" w:rsidP="00BE1E22">
            <w:pPr>
              <w:spacing w:line="360" w:lineRule="auto"/>
              <w:rPr>
                <w:lang w:eastAsia="de-DE"/>
              </w:rPr>
            </w:pPr>
            <w:r w:rsidRPr="00DA29BA">
              <w:rPr>
                <w:lang w:eastAsia="de-DE"/>
              </w:rPr>
              <w:t xml:space="preserve">Becker, Jörg-Peter/Erb, Volker/Esser, Robert/Graalmann-Scheerer, Kirsten/Hilger, Hans/Ignor, Alexander (Eds.), Löwe-Rosenberg. Die Strafprozeßordnung und das Gerichtsverfassungsgesetz, </w:t>
            </w:r>
            <w:r w:rsidR="00DB50C6" w:rsidRPr="00DA29BA">
              <w:rPr>
                <w:lang w:eastAsia="de-DE"/>
              </w:rPr>
              <w:t xml:space="preserve">Volume 6, </w:t>
            </w:r>
            <w:r w:rsidR="00DB50C6">
              <w:rPr>
                <w:lang w:eastAsia="de-DE"/>
              </w:rPr>
              <w:t xml:space="preserve">27th ed. 2019, Volume 10/1, </w:t>
            </w:r>
            <w:r w:rsidR="00DB50C6" w:rsidRPr="00DA29BA">
              <w:rPr>
                <w:lang w:eastAsia="de-DE"/>
              </w:rPr>
              <w:t xml:space="preserve">27th </w:t>
            </w:r>
            <w:r w:rsidR="00DB50C6">
              <w:rPr>
                <w:lang w:eastAsia="de-DE"/>
              </w:rPr>
              <w:t>ed. 2021</w:t>
            </w:r>
            <w:r w:rsidR="00DB50C6" w:rsidRPr="00DA29BA">
              <w:rPr>
                <w:lang w:eastAsia="de-DE"/>
              </w:rPr>
              <w:t>, Berlin</w:t>
            </w:r>
          </w:p>
        </w:tc>
      </w:tr>
      <w:tr w:rsidR="003F111F" w:rsidRPr="007D1D54" w14:paraId="4F3FCFD0" w14:textId="77777777" w:rsidTr="00BE1E22">
        <w:tc>
          <w:tcPr>
            <w:tcW w:w="9062" w:type="dxa"/>
            <w:gridSpan w:val="2"/>
          </w:tcPr>
          <w:p w14:paraId="1BE22F5D" w14:textId="77777777" w:rsidR="003F111F" w:rsidRPr="00DA29BA" w:rsidRDefault="003F111F" w:rsidP="00BE1E22">
            <w:pPr>
              <w:spacing w:line="360" w:lineRule="auto"/>
              <w:rPr>
                <w:lang w:eastAsia="de-DE"/>
              </w:rPr>
            </w:pPr>
          </w:p>
        </w:tc>
      </w:tr>
      <w:tr w:rsidR="003F111F" w:rsidRPr="007D1D54" w14:paraId="47322B32" w14:textId="77777777" w:rsidTr="00BE1E22">
        <w:tc>
          <w:tcPr>
            <w:tcW w:w="9062" w:type="dxa"/>
            <w:gridSpan w:val="2"/>
          </w:tcPr>
          <w:p w14:paraId="5E142DE9" w14:textId="77777777" w:rsidR="003F111F" w:rsidRPr="00DA29BA" w:rsidRDefault="003F111F" w:rsidP="00BE1E22">
            <w:pPr>
              <w:spacing w:line="360" w:lineRule="auto"/>
              <w:rPr>
                <w:lang w:eastAsia="de-DE"/>
              </w:rPr>
            </w:pPr>
            <w:r w:rsidRPr="00DA29BA">
              <w:rPr>
                <w:rStyle w:val="Fett"/>
                <w:b w:val="0"/>
                <w:i/>
              </w:rPr>
              <w:t>Beukelmann</w:t>
            </w:r>
            <w:r w:rsidRPr="00DA29BA">
              <w:rPr>
                <w:b/>
                <w:i/>
              </w:rPr>
              <w:t>,</w:t>
            </w:r>
            <w:r w:rsidRPr="00DA29BA">
              <w:rPr>
                <w:i/>
              </w:rPr>
              <w:t xml:space="preserve"> Stephan</w:t>
            </w:r>
            <w:r w:rsidRPr="00DA29BA">
              <w:t xml:space="preserve">, Das (virtuelle) Anwesenheitsrecht des Angeklagten, </w:t>
            </w:r>
            <w:r>
              <w:t xml:space="preserve">(2024) </w:t>
            </w:r>
            <w:r w:rsidRPr="00DA29BA">
              <w:t>N</w:t>
            </w:r>
            <w:r>
              <w:t>eue Juristische Wochenschrift (NJW)</w:t>
            </w:r>
            <w:r w:rsidRPr="00DA29BA">
              <w:t>-Spezial, 504</w:t>
            </w:r>
          </w:p>
        </w:tc>
      </w:tr>
      <w:tr w:rsidR="003F111F" w:rsidRPr="007D1D54" w14:paraId="7BCBF139" w14:textId="77777777" w:rsidTr="00BE1E22">
        <w:tc>
          <w:tcPr>
            <w:tcW w:w="9062" w:type="dxa"/>
            <w:gridSpan w:val="2"/>
          </w:tcPr>
          <w:p w14:paraId="6AAFF80D" w14:textId="77777777" w:rsidR="003F111F" w:rsidRDefault="003F111F" w:rsidP="00BE1E22">
            <w:pPr>
              <w:spacing w:line="360" w:lineRule="auto"/>
              <w:rPr>
                <w:lang w:eastAsia="de-DE"/>
              </w:rPr>
            </w:pPr>
          </w:p>
        </w:tc>
      </w:tr>
      <w:tr w:rsidR="003F111F" w:rsidRPr="007D1D54" w14:paraId="34953989" w14:textId="77777777" w:rsidTr="00BE1E22">
        <w:tc>
          <w:tcPr>
            <w:tcW w:w="9062" w:type="dxa"/>
            <w:gridSpan w:val="2"/>
          </w:tcPr>
          <w:p w14:paraId="59F20421" w14:textId="77777777" w:rsidR="003F111F" w:rsidRDefault="003F111F" w:rsidP="00BE1E22">
            <w:pPr>
              <w:spacing w:line="360" w:lineRule="auto"/>
              <w:rPr>
                <w:lang w:eastAsia="de-DE"/>
              </w:rPr>
            </w:pPr>
            <w:r>
              <w:rPr>
                <w:lang w:eastAsia="de-DE"/>
              </w:rPr>
              <w:t>Böse, Martin (Ed.), Europäisches Strafrecht, 2nd ed. Baden-Baden 2021</w:t>
            </w:r>
          </w:p>
        </w:tc>
      </w:tr>
      <w:tr w:rsidR="003F111F" w:rsidRPr="007D1D54" w14:paraId="63346F82" w14:textId="77777777" w:rsidTr="00BE1E22">
        <w:tc>
          <w:tcPr>
            <w:tcW w:w="9062" w:type="dxa"/>
            <w:gridSpan w:val="2"/>
          </w:tcPr>
          <w:p w14:paraId="5BCD048D" w14:textId="77777777" w:rsidR="003F111F" w:rsidRDefault="003F111F" w:rsidP="00BE1E22">
            <w:pPr>
              <w:spacing w:line="360" w:lineRule="auto"/>
              <w:rPr>
                <w:lang w:eastAsia="de-DE"/>
              </w:rPr>
            </w:pPr>
          </w:p>
        </w:tc>
      </w:tr>
      <w:tr w:rsidR="003F111F" w:rsidRPr="007D1D54" w14:paraId="32950BC8" w14:textId="77777777" w:rsidTr="00BE1205">
        <w:tc>
          <w:tcPr>
            <w:tcW w:w="9062" w:type="dxa"/>
            <w:gridSpan w:val="2"/>
          </w:tcPr>
          <w:p w14:paraId="6DA6C9B5" w14:textId="77777777" w:rsidR="003F111F" w:rsidRPr="000B3D83" w:rsidRDefault="003F111F" w:rsidP="00BE1E22">
            <w:pPr>
              <w:spacing w:line="360" w:lineRule="auto"/>
              <w:rPr>
                <w:rFonts w:eastAsiaTheme="minorHAnsi"/>
                <w:lang w:eastAsia="en-US"/>
              </w:rPr>
            </w:pPr>
            <w:r w:rsidRPr="000B3D83">
              <w:rPr>
                <w:i/>
              </w:rPr>
              <w:t>Böse, Martin,</w:t>
            </w:r>
            <w:r>
              <w:t xml:space="preserve"> </w:t>
            </w:r>
            <w:r w:rsidRPr="0059682B">
              <w:rPr>
                <w:iCs/>
                <w:lang w:eastAsia="de-DE"/>
              </w:rPr>
              <w:t>Übertragung und Übernahme der Strafverfolgung</w:t>
            </w:r>
            <w:r>
              <w:rPr>
                <w:iCs/>
                <w:lang w:eastAsia="de-DE"/>
              </w:rPr>
              <w:t>, Baden-Baden 2023</w:t>
            </w:r>
          </w:p>
        </w:tc>
      </w:tr>
      <w:tr w:rsidR="003F111F" w:rsidRPr="007D1D54" w14:paraId="64028225" w14:textId="77777777" w:rsidTr="003F11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3" w:type="dxa"/>
            <w:tcBorders>
              <w:top w:val="nil"/>
              <w:left w:val="nil"/>
              <w:bottom w:val="nil"/>
              <w:right w:val="nil"/>
            </w:tcBorders>
          </w:tcPr>
          <w:p w14:paraId="1AF1C835" w14:textId="77777777" w:rsidR="003F111F" w:rsidRPr="007D1D54" w:rsidRDefault="003F111F" w:rsidP="00BE1E22">
            <w:pPr>
              <w:spacing w:line="360" w:lineRule="auto"/>
            </w:pPr>
          </w:p>
        </w:tc>
        <w:tc>
          <w:tcPr>
            <w:tcW w:w="6799" w:type="dxa"/>
            <w:tcBorders>
              <w:top w:val="nil"/>
              <w:left w:val="nil"/>
              <w:bottom w:val="nil"/>
              <w:right w:val="nil"/>
            </w:tcBorders>
          </w:tcPr>
          <w:p w14:paraId="489A56D8" w14:textId="77777777" w:rsidR="003F111F" w:rsidRPr="007D1D54" w:rsidRDefault="003F111F" w:rsidP="00BE1E22">
            <w:pPr>
              <w:spacing w:line="360" w:lineRule="auto"/>
            </w:pPr>
          </w:p>
        </w:tc>
      </w:tr>
      <w:tr w:rsidR="003F111F" w:rsidRPr="00556CE4" w14:paraId="0C821EA1" w14:textId="77777777" w:rsidTr="00BE1205">
        <w:tc>
          <w:tcPr>
            <w:tcW w:w="9062" w:type="dxa"/>
            <w:gridSpan w:val="2"/>
          </w:tcPr>
          <w:p w14:paraId="4F47B1F0" w14:textId="77777777" w:rsidR="003F111F" w:rsidRPr="00556CE4" w:rsidRDefault="003F111F" w:rsidP="00BE1E22">
            <w:pPr>
              <w:spacing w:line="360" w:lineRule="auto"/>
              <w:rPr>
                <w:lang w:val="en-US"/>
              </w:rPr>
            </w:pPr>
            <w:r w:rsidRPr="00556CE4">
              <w:rPr>
                <w:lang w:val="en-US"/>
              </w:rPr>
              <w:t>Commission Notice – Handbook on how to issue and execute a European Arrest Warrant, C</w:t>
            </w:r>
            <w:r>
              <w:rPr>
                <w:lang w:val="en-US"/>
              </w:rPr>
              <w:t>(</w:t>
            </w:r>
            <w:r w:rsidRPr="00556CE4">
              <w:rPr>
                <w:lang w:val="en-US"/>
              </w:rPr>
              <w:t>2023</w:t>
            </w:r>
            <w:r>
              <w:rPr>
                <w:lang w:val="en-US"/>
              </w:rPr>
              <w:t>) 7782 final, 17 November 2023</w:t>
            </w:r>
            <w:r w:rsidRPr="00556CE4">
              <w:rPr>
                <w:lang w:val="en-US"/>
              </w:rPr>
              <w:t xml:space="preserve"> </w:t>
            </w:r>
          </w:p>
        </w:tc>
      </w:tr>
      <w:tr w:rsidR="003F111F" w:rsidRPr="00556CE4" w14:paraId="34959A7F" w14:textId="77777777" w:rsidTr="00BE1E22">
        <w:tc>
          <w:tcPr>
            <w:tcW w:w="9062" w:type="dxa"/>
            <w:gridSpan w:val="2"/>
          </w:tcPr>
          <w:p w14:paraId="76DDC32D" w14:textId="77777777" w:rsidR="003F111F" w:rsidRPr="00FE4BB0" w:rsidRDefault="003F111F" w:rsidP="00BE1E22">
            <w:pPr>
              <w:spacing w:line="360" w:lineRule="auto"/>
              <w:rPr>
                <w:lang w:val="en-GB"/>
              </w:rPr>
            </w:pPr>
          </w:p>
        </w:tc>
      </w:tr>
      <w:tr w:rsidR="003F111F" w:rsidRPr="006E45DE" w14:paraId="520D3E3C" w14:textId="77777777" w:rsidTr="00BE1E22">
        <w:tc>
          <w:tcPr>
            <w:tcW w:w="9062" w:type="dxa"/>
            <w:gridSpan w:val="2"/>
          </w:tcPr>
          <w:p w14:paraId="6A54CB6F" w14:textId="77777777" w:rsidR="003F111F" w:rsidRPr="006E45DE" w:rsidRDefault="003F111F" w:rsidP="00BE1E22">
            <w:pPr>
              <w:spacing w:line="360" w:lineRule="auto"/>
              <w:rPr>
                <w:lang w:val="en-US"/>
              </w:rPr>
            </w:pPr>
            <w:r w:rsidRPr="00237A6F">
              <w:rPr>
                <w:i/>
                <w:lang w:val="en-US"/>
              </w:rPr>
              <w:lastRenderedPageBreak/>
              <w:t>Evaluation Report on</w:t>
            </w:r>
            <w:r w:rsidRPr="00C332D4">
              <w:rPr>
                <w:i/>
                <w:lang w:val="en-US"/>
              </w:rPr>
              <w:t xml:space="preserve"> the ninth round of mutual evaluations:</w:t>
            </w:r>
            <w:r w:rsidRPr="006E45DE">
              <w:rPr>
                <w:lang w:val="en-US"/>
              </w:rPr>
              <w:t xml:space="preserve"> 9</w:t>
            </w:r>
            <w:r w:rsidRPr="006E45DE">
              <w:rPr>
                <w:vertAlign w:val="superscript"/>
                <w:lang w:val="en-US"/>
              </w:rPr>
              <w:t>th</w:t>
            </w:r>
            <w:r w:rsidRPr="006E45DE">
              <w:rPr>
                <w:lang w:val="en-US"/>
              </w:rPr>
              <w:t xml:space="preserve"> round of mutual evaluations on mutal recognition of legal instruments in the field of deprivation or restriction of liberty, report on </w:t>
            </w:r>
            <w:r w:rsidRPr="00237A6F">
              <w:rPr>
                <w:lang w:val="en-US"/>
              </w:rPr>
              <w:t>Germany</w:t>
            </w:r>
            <w:r w:rsidRPr="006E45DE">
              <w:rPr>
                <w:lang w:val="en-US"/>
              </w:rPr>
              <w:t xml:space="preserve">, </w:t>
            </w:r>
            <w:r w:rsidRPr="00237A6F">
              <w:rPr>
                <w:lang w:val="en-US"/>
              </w:rPr>
              <w:t>Council-Document 7960/1/20 REV 1</w:t>
            </w:r>
          </w:p>
        </w:tc>
      </w:tr>
      <w:tr w:rsidR="003F111F" w:rsidRPr="006E45DE" w14:paraId="097F0BBD" w14:textId="77777777" w:rsidTr="00BE1E22">
        <w:tc>
          <w:tcPr>
            <w:tcW w:w="2263" w:type="dxa"/>
          </w:tcPr>
          <w:p w14:paraId="611966A0" w14:textId="77777777" w:rsidR="003F111F" w:rsidRPr="006E45DE" w:rsidRDefault="003F111F" w:rsidP="00BE1E22">
            <w:pPr>
              <w:spacing w:line="360" w:lineRule="auto"/>
              <w:rPr>
                <w:lang w:val="en-US"/>
              </w:rPr>
            </w:pPr>
          </w:p>
        </w:tc>
        <w:tc>
          <w:tcPr>
            <w:tcW w:w="6799" w:type="dxa"/>
          </w:tcPr>
          <w:p w14:paraId="2682F85F" w14:textId="77777777" w:rsidR="003F111F" w:rsidRPr="006E45DE" w:rsidRDefault="003F111F" w:rsidP="00BE1E22">
            <w:pPr>
              <w:spacing w:line="360" w:lineRule="auto"/>
              <w:rPr>
                <w:lang w:val="en-US"/>
              </w:rPr>
            </w:pPr>
          </w:p>
        </w:tc>
      </w:tr>
      <w:tr w:rsidR="003F111F" w:rsidRPr="007D1D54" w14:paraId="03FB4A0E" w14:textId="77777777" w:rsidTr="00BE1E22">
        <w:tc>
          <w:tcPr>
            <w:tcW w:w="9062" w:type="dxa"/>
            <w:gridSpan w:val="2"/>
          </w:tcPr>
          <w:p w14:paraId="69F2001D" w14:textId="77777777" w:rsidR="003F111F" w:rsidRPr="00972F30" w:rsidRDefault="003F111F" w:rsidP="00BE1E22">
            <w:pPr>
              <w:spacing w:line="360" w:lineRule="auto"/>
            </w:pPr>
            <w:r w:rsidRPr="00972F30">
              <w:rPr>
                <w:rStyle w:val="Fett"/>
                <w:b w:val="0"/>
                <w:i/>
              </w:rPr>
              <w:t>Graf von Luckner</w:t>
            </w:r>
            <w:r w:rsidRPr="00972F30">
              <w:rPr>
                <w:i/>
              </w:rPr>
              <w:t>, Johannes</w:t>
            </w:r>
            <w:r>
              <w:t xml:space="preserve">, </w:t>
            </w:r>
            <w:r w:rsidRPr="00B83185">
              <w:t xml:space="preserve">Anmerkung zu EuGH (1. Kammer), Urt. v. 26.3.2020 – C-2/19, </w:t>
            </w:r>
            <w:r>
              <w:t xml:space="preserve">(2020) </w:t>
            </w:r>
            <w:r w:rsidRPr="00B83185">
              <w:rPr>
                <w:rStyle w:val="Hervorhebung"/>
                <w:i w:val="0"/>
              </w:rPr>
              <w:t>Neue Zeitschrift für Strafrecht (NStZ)</w:t>
            </w:r>
            <w:r>
              <w:rPr>
                <w:rStyle w:val="Hervorhebung"/>
                <w:i w:val="0"/>
              </w:rPr>
              <w:t xml:space="preserve">, </w:t>
            </w:r>
            <w:r w:rsidRPr="00972F30">
              <w:t>68</w:t>
            </w:r>
            <w:r>
              <w:t>8</w:t>
            </w:r>
            <w:r w:rsidRPr="00972F30">
              <w:t>-69</w:t>
            </w:r>
            <w:r>
              <w:t>1</w:t>
            </w:r>
          </w:p>
        </w:tc>
      </w:tr>
      <w:tr w:rsidR="003F111F" w:rsidRPr="007D1D54" w14:paraId="40C3378D" w14:textId="77777777" w:rsidTr="00BE1E22">
        <w:tc>
          <w:tcPr>
            <w:tcW w:w="2263" w:type="dxa"/>
          </w:tcPr>
          <w:p w14:paraId="5A54B5AE" w14:textId="77777777" w:rsidR="003F111F" w:rsidRPr="007D1D54" w:rsidRDefault="003F111F" w:rsidP="00BE1E22">
            <w:pPr>
              <w:spacing w:line="360" w:lineRule="auto"/>
            </w:pPr>
          </w:p>
        </w:tc>
        <w:tc>
          <w:tcPr>
            <w:tcW w:w="6799" w:type="dxa"/>
          </w:tcPr>
          <w:p w14:paraId="7ECAAFB2" w14:textId="77777777" w:rsidR="003F111F" w:rsidRPr="007D1D54" w:rsidRDefault="003F111F" w:rsidP="00BE1E22">
            <w:pPr>
              <w:spacing w:line="360" w:lineRule="auto"/>
            </w:pPr>
          </w:p>
        </w:tc>
      </w:tr>
      <w:tr w:rsidR="003F111F" w:rsidRPr="007D1D54" w14:paraId="0162AE52" w14:textId="77777777" w:rsidTr="00BE1E22">
        <w:tc>
          <w:tcPr>
            <w:tcW w:w="9062" w:type="dxa"/>
            <w:gridSpan w:val="2"/>
          </w:tcPr>
          <w:p w14:paraId="1C36E7AE" w14:textId="572155F6" w:rsidR="003F111F" w:rsidRPr="007D1D54" w:rsidRDefault="003F111F" w:rsidP="00BE1E22">
            <w:pPr>
              <w:spacing w:line="360" w:lineRule="auto"/>
            </w:pPr>
            <w:r>
              <w:t>Grützner, Heinrich/Pötz, Paul-Günter/Kreß, Claus/Gazeas, Nikolaos (Eds.), Internationaler Rechtshilfeverkehr in Strafsachen, 3rd ed., 5</w:t>
            </w:r>
            <w:r w:rsidR="009447ED">
              <w:t>7</w:t>
            </w:r>
            <w:r>
              <w:t xml:space="preserve">th installment, </w:t>
            </w:r>
            <w:r w:rsidR="009447ED">
              <w:t>June</w:t>
            </w:r>
            <w:r>
              <w:t xml:space="preserve"> 202</w:t>
            </w:r>
            <w:r w:rsidR="009447ED">
              <w:t>4</w:t>
            </w:r>
          </w:p>
        </w:tc>
      </w:tr>
      <w:tr w:rsidR="003F111F" w:rsidRPr="007D1D54" w14:paraId="697062FB" w14:textId="77777777" w:rsidTr="00BE1E22">
        <w:tc>
          <w:tcPr>
            <w:tcW w:w="9062" w:type="dxa"/>
            <w:gridSpan w:val="2"/>
          </w:tcPr>
          <w:p w14:paraId="41C6246E" w14:textId="77777777" w:rsidR="003F111F" w:rsidRDefault="003F111F" w:rsidP="00BE1E22">
            <w:pPr>
              <w:spacing w:line="360" w:lineRule="auto"/>
            </w:pPr>
          </w:p>
        </w:tc>
      </w:tr>
      <w:tr w:rsidR="003F111F" w:rsidRPr="00E01022" w14:paraId="5CD71FFE" w14:textId="77777777" w:rsidTr="00BE1E22">
        <w:tc>
          <w:tcPr>
            <w:tcW w:w="9062" w:type="dxa"/>
            <w:gridSpan w:val="2"/>
          </w:tcPr>
          <w:p w14:paraId="17922661" w14:textId="77777777" w:rsidR="003F111F" w:rsidRPr="00E01022" w:rsidRDefault="003F111F" w:rsidP="00BE1E22">
            <w:pPr>
              <w:spacing w:line="360" w:lineRule="auto"/>
            </w:pPr>
            <w:r w:rsidRPr="00443915">
              <w:rPr>
                <w:i/>
              </w:rPr>
              <w:t>Hackner, Thomas/Schierholt, Christian,</w:t>
            </w:r>
            <w:r w:rsidRPr="00E01022">
              <w:t xml:space="preserve"> Internationale Rechts</w:t>
            </w:r>
            <w:r>
              <w:t>hilfe in Strafsachen, 4th ed., München 2023</w:t>
            </w:r>
          </w:p>
        </w:tc>
      </w:tr>
      <w:tr w:rsidR="003F111F" w:rsidRPr="00E01022" w14:paraId="653B8A81" w14:textId="77777777" w:rsidTr="00BE1E22">
        <w:tc>
          <w:tcPr>
            <w:tcW w:w="9062" w:type="dxa"/>
            <w:gridSpan w:val="2"/>
          </w:tcPr>
          <w:p w14:paraId="43F33B6D" w14:textId="77777777" w:rsidR="003F111F" w:rsidRPr="00443915" w:rsidRDefault="003F111F" w:rsidP="00BE1E22">
            <w:pPr>
              <w:spacing w:line="360" w:lineRule="auto"/>
              <w:rPr>
                <w:i/>
              </w:rPr>
            </w:pPr>
          </w:p>
        </w:tc>
      </w:tr>
      <w:tr w:rsidR="003F111F" w:rsidRPr="00E01022" w14:paraId="26029BE6" w14:textId="77777777" w:rsidTr="00BE1E22">
        <w:tc>
          <w:tcPr>
            <w:tcW w:w="9062" w:type="dxa"/>
            <w:gridSpan w:val="2"/>
          </w:tcPr>
          <w:p w14:paraId="383D62C3" w14:textId="77777777" w:rsidR="003F111F" w:rsidRPr="00D8593F" w:rsidRDefault="003F111F" w:rsidP="00BE1E22">
            <w:pPr>
              <w:spacing w:line="360" w:lineRule="auto"/>
            </w:pPr>
            <w:r w:rsidRPr="00D8593F">
              <w:t>Herzog, Felix/Wolter, Jürgen/Schlothauer,Reinhold/Wohlers, Wolfgang</w:t>
            </w:r>
            <w:r>
              <w:t xml:space="preserve"> (Eds.)</w:t>
            </w:r>
            <w:r w:rsidRPr="00D8593F">
              <w:t xml:space="preserve">, Rechtsstaatlicher Strafprozess und Bürgerrechte, </w:t>
            </w:r>
            <w:r>
              <w:t xml:space="preserve">Berlin </w:t>
            </w:r>
            <w:r w:rsidRPr="00D8593F">
              <w:t>2016</w:t>
            </w:r>
          </w:p>
        </w:tc>
      </w:tr>
      <w:tr w:rsidR="003F111F" w:rsidRPr="00E01022" w14:paraId="659FEFFB" w14:textId="77777777" w:rsidTr="00BE1E22">
        <w:tc>
          <w:tcPr>
            <w:tcW w:w="9062" w:type="dxa"/>
            <w:gridSpan w:val="2"/>
          </w:tcPr>
          <w:p w14:paraId="4D237DDA" w14:textId="77777777" w:rsidR="003F111F" w:rsidRPr="00D8593F" w:rsidRDefault="003F111F" w:rsidP="00BE1E22">
            <w:pPr>
              <w:spacing w:line="360" w:lineRule="auto"/>
            </w:pPr>
          </w:p>
        </w:tc>
      </w:tr>
      <w:tr w:rsidR="003F111F" w:rsidRPr="00E01022" w14:paraId="2C00D819" w14:textId="77777777" w:rsidTr="00BE1E22">
        <w:tc>
          <w:tcPr>
            <w:tcW w:w="9062" w:type="dxa"/>
            <w:gridSpan w:val="2"/>
          </w:tcPr>
          <w:p w14:paraId="43C65D94" w14:textId="77777777" w:rsidR="003F111F" w:rsidRPr="00443915" w:rsidRDefault="003F111F" w:rsidP="00BE1E22">
            <w:pPr>
              <w:spacing w:line="360" w:lineRule="auto"/>
              <w:rPr>
                <w:i/>
              </w:rPr>
            </w:pPr>
            <w:r w:rsidRPr="0059682B">
              <w:rPr>
                <w:iCs/>
                <w:lang w:eastAsia="de-DE"/>
              </w:rPr>
              <w:t>Joerden</w:t>
            </w:r>
            <w:r w:rsidRPr="00D02F10">
              <w:rPr>
                <w:iCs/>
                <w:lang w:eastAsia="de-DE"/>
              </w:rPr>
              <w:t>, Jan C./</w:t>
            </w:r>
            <w:r w:rsidRPr="0059682B">
              <w:rPr>
                <w:iCs/>
                <w:lang w:eastAsia="de-DE"/>
              </w:rPr>
              <w:t>Swarzc</w:t>
            </w:r>
            <w:r w:rsidRPr="00D02F10">
              <w:rPr>
                <w:iCs/>
                <w:lang w:eastAsia="de-DE"/>
              </w:rPr>
              <w:t>, Andrzej J.</w:t>
            </w:r>
            <w:r w:rsidRPr="0059682B">
              <w:rPr>
                <w:iCs/>
                <w:lang w:eastAsia="de-DE"/>
              </w:rPr>
              <w:t xml:space="preserve"> (Eds.),</w:t>
            </w:r>
            <w:r w:rsidRPr="0059682B">
              <w:rPr>
                <w:i/>
                <w:iCs/>
                <w:lang w:eastAsia="de-DE"/>
              </w:rPr>
              <w:t xml:space="preserve"> </w:t>
            </w:r>
            <w:r w:rsidRPr="0059682B">
              <w:rPr>
                <w:iCs/>
                <w:lang w:eastAsia="de-DE"/>
              </w:rPr>
              <w:t>Europäisierung des Strafrechts in Polen und Deutschland – rechtsstaatliche Grundlagen</w:t>
            </w:r>
            <w:r>
              <w:rPr>
                <w:iCs/>
                <w:lang w:eastAsia="de-DE"/>
              </w:rPr>
              <w:t xml:space="preserve">, Berlin </w:t>
            </w:r>
            <w:r w:rsidRPr="0059682B">
              <w:rPr>
                <w:lang w:eastAsia="de-DE"/>
              </w:rPr>
              <w:t>2007</w:t>
            </w:r>
          </w:p>
        </w:tc>
      </w:tr>
      <w:tr w:rsidR="003F111F" w:rsidRPr="00E01022" w14:paraId="3AA122A4" w14:textId="77777777" w:rsidTr="00BE1E22">
        <w:tc>
          <w:tcPr>
            <w:tcW w:w="9062" w:type="dxa"/>
            <w:gridSpan w:val="2"/>
          </w:tcPr>
          <w:p w14:paraId="376F0F0C" w14:textId="77777777" w:rsidR="003F111F" w:rsidRPr="00443915" w:rsidRDefault="003F111F" w:rsidP="00BE1E22">
            <w:pPr>
              <w:spacing w:line="360" w:lineRule="auto"/>
              <w:rPr>
                <w:i/>
              </w:rPr>
            </w:pPr>
          </w:p>
        </w:tc>
      </w:tr>
      <w:tr w:rsidR="003F111F" w:rsidRPr="00E01022" w14:paraId="60A11B24" w14:textId="77777777" w:rsidTr="00BE1E22">
        <w:tc>
          <w:tcPr>
            <w:tcW w:w="9062" w:type="dxa"/>
            <w:gridSpan w:val="2"/>
          </w:tcPr>
          <w:p w14:paraId="52BABAE7" w14:textId="77777777" w:rsidR="003F111F" w:rsidRPr="00B71A59" w:rsidRDefault="003F111F" w:rsidP="00BE1E22">
            <w:pPr>
              <w:spacing w:line="360" w:lineRule="auto"/>
            </w:pPr>
            <w:r w:rsidRPr="00B71A59">
              <w:t>Kindhäuser, Urs/Neumann, Ulfrid/Paeffgen, Hans-Ullrich (Eds.), Nomos-Kommentar zum Strafgesetzbuch, 6th ed., Baden-Baden 2023</w:t>
            </w:r>
          </w:p>
        </w:tc>
      </w:tr>
      <w:tr w:rsidR="003F111F" w:rsidRPr="00E01022" w14:paraId="2900AB6F" w14:textId="77777777" w:rsidTr="00BE1E22">
        <w:tc>
          <w:tcPr>
            <w:tcW w:w="2263" w:type="dxa"/>
          </w:tcPr>
          <w:p w14:paraId="1F9B0B26" w14:textId="77777777" w:rsidR="003F111F" w:rsidRPr="00E01022" w:rsidRDefault="003F111F" w:rsidP="00BE1E22">
            <w:pPr>
              <w:spacing w:line="360" w:lineRule="auto"/>
            </w:pPr>
          </w:p>
        </w:tc>
        <w:tc>
          <w:tcPr>
            <w:tcW w:w="6799" w:type="dxa"/>
          </w:tcPr>
          <w:p w14:paraId="1A0766D5" w14:textId="77777777" w:rsidR="003F111F" w:rsidRPr="00E01022" w:rsidRDefault="003F111F" w:rsidP="00BE1E22">
            <w:pPr>
              <w:spacing w:line="360" w:lineRule="auto"/>
            </w:pPr>
          </w:p>
        </w:tc>
      </w:tr>
      <w:tr w:rsidR="003F111F" w:rsidRPr="00E01022" w14:paraId="162517E7" w14:textId="77777777" w:rsidTr="00BE1E22">
        <w:tc>
          <w:tcPr>
            <w:tcW w:w="9062" w:type="dxa"/>
            <w:gridSpan w:val="2"/>
          </w:tcPr>
          <w:p w14:paraId="19BD81B1" w14:textId="77777777" w:rsidR="003F111F" w:rsidRPr="003A02E0" w:rsidRDefault="003F111F" w:rsidP="00BE1E22">
            <w:pPr>
              <w:spacing w:line="360" w:lineRule="auto"/>
            </w:pPr>
            <w:r w:rsidRPr="003A02E0">
              <w:rPr>
                <w:rStyle w:val="Fett"/>
                <w:b w:val="0"/>
                <w:i/>
              </w:rPr>
              <w:t>Lagodny</w:t>
            </w:r>
            <w:r w:rsidRPr="003A02E0">
              <w:rPr>
                <w:b/>
                <w:i/>
              </w:rPr>
              <w:t xml:space="preserve">, </w:t>
            </w:r>
            <w:r w:rsidRPr="003A02E0">
              <w:rPr>
                <w:i/>
              </w:rPr>
              <w:t>Otto</w:t>
            </w:r>
            <w:r w:rsidRPr="003A02E0">
              <w:t xml:space="preserve">, Auslieferung und Überstellung deutscher Staatsangehöriger, </w:t>
            </w:r>
            <w:r>
              <w:t xml:space="preserve">(2000) </w:t>
            </w:r>
            <w:r w:rsidRPr="006A65D9">
              <w:rPr>
                <w:rStyle w:val="Hervorhebung"/>
                <w:i w:val="0"/>
              </w:rPr>
              <w:t>Zeitschrift für Rechtspolitik (ZRP)</w:t>
            </w:r>
            <w:r w:rsidRPr="006A65D9">
              <w:t>, 175-177</w:t>
            </w:r>
          </w:p>
        </w:tc>
      </w:tr>
      <w:tr w:rsidR="003F111F" w:rsidRPr="00E01022" w14:paraId="725D8E7A" w14:textId="77777777" w:rsidTr="00BE1E22">
        <w:tc>
          <w:tcPr>
            <w:tcW w:w="9062" w:type="dxa"/>
            <w:gridSpan w:val="2"/>
          </w:tcPr>
          <w:p w14:paraId="2812C007" w14:textId="77777777" w:rsidR="003F111F" w:rsidRPr="003A02E0" w:rsidRDefault="003F111F" w:rsidP="00BE1E22">
            <w:pPr>
              <w:spacing w:line="360" w:lineRule="auto"/>
              <w:rPr>
                <w:rStyle w:val="Fett"/>
                <w:b w:val="0"/>
                <w:i/>
              </w:rPr>
            </w:pPr>
          </w:p>
        </w:tc>
      </w:tr>
      <w:tr w:rsidR="003F111F" w:rsidRPr="00E01022" w14:paraId="689296C5" w14:textId="77777777" w:rsidTr="00BE1E22">
        <w:tc>
          <w:tcPr>
            <w:tcW w:w="9062" w:type="dxa"/>
            <w:gridSpan w:val="2"/>
          </w:tcPr>
          <w:p w14:paraId="0A2FD888" w14:textId="77777777" w:rsidR="003F111F" w:rsidRPr="002C5D9A" w:rsidRDefault="003F111F" w:rsidP="00BE1E22">
            <w:pPr>
              <w:spacing w:line="360" w:lineRule="auto"/>
              <w:rPr>
                <w:lang w:eastAsia="de-DE"/>
              </w:rPr>
            </w:pPr>
            <w:r w:rsidRPr="0059682B">
              <w:rPr>
                <w:i/>
                <w:lang w:eastAsia="de-DE"/>
              </w:rPr>
              <w:t>Leonhardt,</w:t>
            </w:r>
            <w:r w:rsidRPr="009C02B4">
              <w:rPr>
                <w:i/>
                <w:lang w:eastAsia="de-DE"/>
              </w:rPr>
              <w:t xml:space="preserve"> Andrea</w:t>
            </w:r>
            <w:r>
              <w:rPr>
                <w:lang w:eastAsia="de-DE"/>
              </w:rPr>
              <w:t xml:space="preserve">, </w:t>
            </w:r>
            <w:r w:rsidRPr="0059682B">
              <w:rPr>
                <w:iCs/>
                <w:lang w:eastAsia="de-DE"/>
              </w:rPr>
              <w:t>Die Europäische Ermittlungsanordnung in Strafsachen</w:t>
            </w:r>
            <w:r w:rsidRPr="009C02B4">
              <w:rPr>
                <w:iCs/>
                <w:lang w:eastAsia="de-DE"/>
              </w:rPr>
              <w:t>, Wiesbaden</w:t>
            </w:r>
            <w:r w:rsidRPr="0059682B">
              <w:rPr>
                <w:lang w:eastAsia="de-DE"/>
              </w:rPr>
              <w:t xml:space="preserve"> 2017</w:t>
            </w:r>
          </w:p>
        </w:tc>
      </w:tr>
      <w:tr w:rsidR="003F111F" w:rsidRPr="00E01022" w14:paraId="05D49DE4" w14:textId="77777777" w:rsidTr="00BE1E22">
        <w:tc>
          <w:tcPr>
            <w:tcW w:w="9062" w:type="dxa"/>
            <w:gridSpan w:val="2"/>
          </w:tcPr>
          <w:p w14:paraId="5AAEFAB3" w14:textId="77777777" w:rsidR="003F111F" w:rsidRPr="0059682B" w:rsidRDefault="003F111F" w:rsidP="00BE1E22">
            <w:pPr>
              <w:spacing w:line="360" w:lineRule="auto"/>
              <w:rPr>
                <w:i/>
                <w:lang w:eastAsia="de-DE"/>
              </w:rPr>
            </w:pPr>
          </w:p>
        </w:tc>
      </w:tr>
      <w:tr w:rsidR="003F111F" w:rsidRPr="00E01022" w14:paraId="1ED74DEA" w14:textId="77777777" w:rsidTr="00BE1E22">
        <w:tc>
          <w:tcPr>
            <w:tcW w:w="9062" w:type="dxa"/>
            <w:gridSpan w:val="2"/>
          </w:tcPr>
          <w:p w14:paraId="48B9E6C7" w14:textId="77777777" w:rsidR="003F111F" w:rsidRPr="00076BA5" w:rsidRDefault="003F111F" w:rsidP="00BE1E22">
            <w:pPr>
              <w:spacing w:line="360" w:lineRule="auto"/>
              <w:rPr>
                <w:lang w:eastAsia="de-DE"/>
              </w:rPr>
            </w:pPr>
            <w:r w:rsidRPr="00076BA5">
              <w:rPr>
                <w:lang w:eastAsia="de-DE"/>
              </w:rPr>
              <w:t>Mansdörfer, Marco (Ed.), Münchener Kommentar zum Strafgesetzbuch, Volume 7, 4th ed., München 2022</w:t>
            </w:r>
          </w:p>
        </w:tc>
      </w:tr>
      <w:tr w:rsidR="003F111F" w:rsidRPr="00E01022" w14:paraId="7E84A3CB" w14:textId="77777777" w:rsidTr="00BE1E22">
        <w:tc>
          <w:tcPr>
            <w:tcW w:w="2263" w:type="dxa"/>
          </w:tcPr>
          <w:p w14:paraId="44D4D9E2" w14:textId="77777777" w:rsidR="003F111F" w:rsidRPr="0059682B" w:rsidRDefault="003F111F" w:rsidP="00BE1E22">
            <w:pPr>
              <w:spacing w:line="360" w:lineRule="auto"/>
              <w:rPr>
                <w:lang w:eastAsia="de-DE"/>
              </w:rPr>
            </w:pPr>
          </w:p>
        </w:tc>
        <w:tc>
          <w:tcPr>
            <w:tcW w:w="6799" w:type="dxa"/>
          </w:tcPr>
          <w:p w14:paraId="34B77EB5" w14:textId="77777777" w:rsidR="003F111F" w:rsidRPr="0059682B" w:rsidRDefault="003F111F" w:rsidP="00BE1E22">
            <w:pPr>
              <w:spacing w:before="100" w:beforeAutospacing="1" w:after="100" w:afterAutospacing="1" w:line="360" w:lineRule="auto"/>
              <w:rPr>
                <w:i/>
                <w:iCs/>
                <w:lang w:eastAsia="de-DE"/>
              </w:rPr>
            </w:pPr>
          </w:p>
        </w:tc>
      </w:tr>
      <w:tr w:rsidR="003F111F" w:rsidRPr="00E01022" w14:paraId="47DEBDDB" w14:textId="77777777" w:rsidTr="00BE1E22">
        <w:tc>
          <w:tcPr>
            <w:tcW w:w="9062" w:type="dxa"/>
            <w:gridSpan w:val="2"/>
          </w:tcPr>
          <w:p w14:paraId="418C8BDF" w14:textId="77777777" w:rsidR="003F111F" w:rsidRPr="00371955" w:rsidRDefault="003F111F" w:rsidP="00BE1E22">
            <w:pPr>
              <w:spacing w:line="360" w:lineRule="auto"/>
            </w:pPr>
            <w:r w:rsidRPr="00371955">
              <w:rPr>
                <w:rStyle w:val="Fett"/>
                <w:b w:val="0"/>
                <w:i/>
              </w:rPr>
              <w:lastRenderedPageBreak/>
              <w:t>Morgenstern</w:t>
            </w:r>
            <w:r w:rsidRPr="00371955">
              <w:rPr>
                <w:i/>
              </w:rPr>
              <w:t>, Christine</w:t>
            </w:r>
            <w:r w:rsidRPr="00371955">
              <w:t xml:space="preserve">, Die Europäische Überwachungsanordnung - Überkomplexes Ungetüm oder sinnvolles Instrument zur Untersuchungshaftvermeidung von Ausländern?, </w:t>
            </w:r>
            <w:r w:rsidRPr="00BF729C">
              <w:t xml:space="preserve">(2014) </w:t>
            </w:r>
            <w:r w:rsidRPr="00BF729C">
              <w:rPr>
                <w:rStyle w:val="Hervorhebung"/>
                <w:i w:val="0"/>
              </w:rPr>
              <w:t>Zeitschrift für Internationale Strafrechtsdogmatik (ZIS)</w:t>
            </w:r>
            <w:r w:rsidRPr="00BF729C">
              <w:t>, 216-235</w:t>
            </w:r>
          </w:p>
        </w:tc>
      </w:tr>
      <w:tr w:rsidR="003F111F" w:rsidRPr="00E01022" w14:paraId="635E4EA3" w14:textId="77777777" w:rsidTr="00BE1E22">
        <w:tc>
          <w:tcPr>
            <w:tcW w:w="2263" w:type="dxa"/>
          </w:tcPr>
          <w:p w14:paraId="47265E37" w14:textId="77777777" w:rsidR="003F111F" w:rsidRPr="00E01022" w:rsidRDefault="003F111F" w:rsidP="00BE1E22">
            <w:pPr>
              <w:spacing w:line="360" w:lineRule="auto"/>
            </w:pPr>
          </w:p>
        </w:tc>
        <w:tc>
          <w:tcPr>
            <w:tcW w:w="6799" w:type="dxa"/>
          </w:tcPr>
          <w:p w14:paraId="25F92DC9" w14:textId="77777777" w:rsidR="003F111F" w:rsidRPr="00E01022" w:rsidRDefault="003F111F" w:rsidP="00BE1E22">
            <w:pPr>
              <w:spacing w:line="360" w:lineRule="auto"/>
            </w:pPr>
          </w:p>
        </w:tc>
      </w:tr>
      <w:tr w:rsidR="003F111F" w:rsidRPr="00E01022" w14:paraId="56A2754F" w14:textId="77777777" w:rsidTr="00BE1E22">
        <w:tc>
          <w:tcPr>
            <w:tcW w:w="9062" w:type="dxa"/>
            <w:gridSpan w:val="2"/>
          </w:tcPr>
          <w:p w14:paraId="33FB9C28" w14:textId="513F7B63" w:rsidR="003F111F" w:rsidRPr="003D1860" w:rsidRDefault="003F111F" w:rsidP="00BE1E22">
            <w:pPr>
              <w:spacing w:line="360" w:lineRule="auto"/>
              <w:rPr>
                <w:kern w:val="2"/>
                <w14:ligatures w14:val="standardContextual"/>
              </w:rPr>
            </w:pPr>
            <w:r w:rsidRPr="00C51047">
              <w:rPr>
                <w:i/>
                <w:kern w:val="2"/>
                <w14:ligatures w14:val="standardContextual"/>
              </w:rPr>
              <w:t xml:space="preserve">Morgenstern, </w:t>
            </w:r>
            <w:r w:rsidRPr="001003A0">
              <w:rPr>
                <w:i/>
                <w:kern w:val="2"/>
                <w14:ligatures w14:val="standardContextual"/>
              </w:rPr>
              <w:t>Christine</w:t>
            </w:r>
            <w:r w:rsidRPr="001003A0">
              <w:rPr>
                <w:kern w:val="2"/>
                <w14:ligatures w14:val="standardContextual"/>
              </w:rPr>
              <w:t xml:space="preserve">, </w:t>
            </w:r>
            <w:r w:rsidRPr="00C51047">
              <w:rPr>
                <w:kern w:val="2"/>
                <w14:ligatures w14:val="standardContextual"/>
              </w:rPr>
              <w:t>Europäische Standards für Bewährungshilfe,</w:t>
            </w:r>
            <w:r w:rsidRPr="001003A0">
              <w:rPr>
                <w:kern w:val="2"/>
                <w14:ligatures w14:val="standardContextual"/>
              </w:rPr>
              <w:t xml:space="preserve"> </w:t>
            </w:r>
            <w:r w:rsidR="00950B6B">
              <w:rPr>
                <w:kern w:val="2"/>
                <w14:ligatures w14:val="standardContextual"/>
              </w:rPr>
              <w:t xml:space="preserve">(2012) </w:t>
            </w:r>
            <w:r w:rsidRPr="00C51047">
              <w:rPr>
                <w:kern w:val="2"/>
                <w14:ligatures w14:val="standardContextual"/>
              </w:rPr>
              <w:t>Bewährungshilfe,</w:t>
            </w:r>
            <w:r w:rsidRPr="001003A0">
              <w:rPr>
                <w:i/>
                <w:kern w:val="2"/>
                <w14:ligatures w14:val="standardContextual"/>
              </w:rPr>
              <w:t xml:space="preserve"> </w:t>
            </w:r>
            <w:r w:rsidRPr="00C51047">
              <w:rPr>
                <w:kern w:val="2"/>
                <w14:ligatures w14:val="standardContextual"/>
              </w:rPr>
              <w:t>213</w:t>
            </w:r>
            <w:r w:rsidRPr="001003A0">
              <w:rPr>
                <w:kern w:val="2"/>
                <w14:ligatures w14:val="standardContextual"/>
              </w:rPr>
              <w:t>-239</w:t>
            </w:r>
          </w:p>
        </w:tc>
      </w:tr>
      <w:tr w:rsidR="003F111F" w:rsidRPr="00E01022" w14:paraId="5FC07A70" w14:textId="77777777" w:rsidTr="00BE1E22">
        <w:tc>
          <w:tcPr>
            <w:tcW w:w="9062" w:type="dxa"/>
            <w:gridSpan w:val="2"/>
          </w:tcPr>
          <w:p w14:paraId="317B3C2E" w14:textId="77777777" w:rsidR="003F111F" w:rsidRPr="00C51047" w:rsidRDefault="003F111F" w:rsidP="00BE1E22">
            <w:pPr>
              <w:spacing w:line="360" w:lineRule="auto"/>
              <w:rPr>
                <w:i/>
                <w:kern w:val="2"/>
                <w14:ligatures w14:val="standardContextual"/>
              </w:rPr>
            </w:pPr>
          </w:p>
        </w:tc>
      </w:tr>
      <w:tr w:rsidR="003F111F" w:rsidRPr="00BF6762" w14:paraId="2D5B8017" w14:textId="77777777" w:rsidTr="00BE1E22">
        <w:tc>
          <w:tcPr>
            <w:tcW w:w="9062" w:type="dxa"/>
            <w:gridSpan w:val="2"/>
          </w:tcPr>
          <w:p w14:paraId="762610B2" w14:textId="77777777" w:rsidR="003F111F" w:rsidRPr="00BF6762" w:rsidRDefault="003F111F" w:rsidP="00BE1E22">
            <w:pPr>
              <w:spacing w:line="360" w:lineRule="auto"/>
              <w:rPr>
                <w:lang w:val="en-US"/>
              </w:rPr>
            </w:pPr>
            <w:r w:rsidRPr="0059682B">
              <w:rPr>
                <w:iCs/>
                <w:lang w:val="en-US" w:eastAsia="de-DE"/>
              </w:rPr>
              <w:t>Morgenstern</w:t>
            </w:r>
            <w:r>
              <w:rPr>
                <w:i/>
                <w:iCs/>
                <w:lang w:val="en-US" w:eastAsia="de-DE"/>
              </w:rPr>
              <w:t xml:space="preserve">, </w:t>
            </w:r>
            <w:r w:rsidRPr="00421616">
              <w:rPr>
                <w:iCs/>
                <w:lang w:val="en-US" w:eastAsia="de-DE"/>
              </w:rPr>
              <w:t>Christine</w:t>
            </w:r>
            <w:r w:rsidRPr="0059682B">
              <w:rPr>
                <w:iCs/>
                <w:lang w:val="en-US" w:eastAsia="de-DE"/>
              </w:rPr>
              <w:t>/Hammerschick</w:t>
            </w:r>
            <w:r w:rsidRPr="00421616">
              <w:rPr>
                <w:iCs/>
                <w:lang w:val="en-US" w:eastAsia="de-DE"/>
              </w:rPr>
              <w:t>, Walter</w:t>
            </w:r>
            <w:r w:rsidRPr="0059682B">
              <w:rPr>
                <w:iCs/>
                <w:lang w:val="en-US" w:eastAsia="de-DE"/>
              </w:rPr>
              <w:t>/Rogan</w:t>
            </w:r>
            <w:r w:rsidRPr="00421616">
              <w:rPr>
                <w:iCs/>
                <w:lang w:val="en-US" w:eastAsia="de-DE"/>
              </w:rPr>
              <w:t>, Mary</w:t>
            </w:r>
            <w:r w:rsidRPr="0059682B">
              <w:rPr>
                <w:iCs/>
                <w:lang w:val="en-US" w:eastAsia="de-DE"/>
              </w:rPr>
              <w:t xml:space="preserve"> (Eds.), European Perspectives on pre-trial detention. A means of last resort</w:t>
            </w:r>
            <w:r w:rsidRPr="00421616">
              <w:rPr>
                <w:iCs/>
                <w:lang w:val="en-US" w:eastAsia="de-DE"/>
              </w:rPr>
              <w:t>?, London</w:t>
            </w:r>
            <w:r>
              <w:rPr>
                <w:i/>
                <w:iCs/>
                <w:lang w:val="en-US" w:eastAsia="de-DE"/>
              </w:rPr>
              <w:t xml:space="preserve"> </w:t>
            </w:r>
            <w:r w:rsidRPr="0059682B">
              <w:rPr>
                <w:lang w:val="en-US" w:eastAsia="de-DE"/>
              </w:rPr>
              <w:t>2023</w:t>
            </w:r>
          </w:p>
        </w:tc>
      </w:tr>
      <w:tr w:rsidR="003F111F" w:rsidRPr="00BF6762" w14:paraId="03550639" w14:textId="77777777" w:rsidTr="00BE1E22">
        <w:tc>
          <w:tcPr>
            <w:tcW w:w="9062" w:type="dxa"/>
            <w:gridSpan w:val="2"/>
          </w:tcPr>
          <w:p w14:paraId="2A4DBCE9" w14:textId="77777777" w:rsidR="003F111F" w:rsidRPr="0059682B" w:rsidRDefault="003F111F" w:rsidP="00BE1E22">
            <w:pPr>
              <w:spacing w:line="360" w:lineRule="auto"/>
              <w:rPr>
                <w:iCs/>
                <w:lang w:val="en-US" w:eastAsia="de-DE"/>
              </w:rPr>
            </w:pPr>
          </w:p>
        </w:tc>
      </w:tr>
      <w:tr w:rsidR="003F111F" w:rsidRPr="00E01022" w14:paraId="759F5F36" w14:textId="77777777" w:rsidTr="00BE1E22">
        <w:tc>
          <w:tcPr>
            <w:tcW w:w="9062" w:type="dxa"/>
            <w:gridSpan w:val="2"/>
          </w:tcPr>
          <w:p w14:paraId="6FDC686F" w14:textId="77777777" w:rsidR="003F111F" w:rsidRPr="00E01022" w:rsidRDefault="003F111F" w:rsidP="00BE1E22">
            <w:pPr>
              <w:spacing w:line="360" w:lineRule="auto"/>
            </w:pPr>
            <w:r>
              <w:t>Müller, Eckhardt/Schlothauer, Reinhold/Knauer, Christoph (Eds.), Münchener Anwaltshandbuch Strafverteidigung, 3rd ed., München 2022</w:t>
            </w:r>
          </w:p>
        </w:tc>
      </w:tr>
      <w:tr w:rsidR="003F111F" w:rsidRPr="00E01022" w14:paraId="774ABE9F" w14:textId="77777777" w:rsidTr="00BE1E22">
        <w:tc>
          <w:tcPr>
            <w:tcW w:w="9062" w:type="dxa"/>
            <w:gridSpan w:val="2"/>
          </w:tcPr>
          <w:p w14:paraId="7E149951" w14:textId="77777777" w:rsidR="003F111F" w:rsidRPr="00E01022" w:rsidRDefault="003F111F" w:rsidP="00BE1E22">
            <w:pPr>
              <w:spacing w:line="360" w:lineRule="auto"/>
            </w:pPr>
          </w:p>
        </w:tc>
      </w:tr>
      <w:tr w:rsidR="003F111F" w:rsidRPr="00E01022" w14:paraId="04F1577D" w14:textId="77777777" w:rsidTr="00BE1E22">
        <w:tc>
          <w:tcPr>
            <w:tcW w:w="9062" w:type="dxa"/>
            <w:gridSpan w:val="2"/>
          </w:tcPr>
          <w:p w14:paraId="097FBFE5" w14:textId="77777777" w:rsidR="003F111F" w:rsidRPr="00E01022" w:rsidRDefault="003F111F" w:rsidP="00BE1E22">
            <w:pPr>
              <w:spacing w:line="360" w:lineRule="auto"/>
            </w:pPr>
            <w:r w:rsidRPr="001C548C">
              <w:rPr>
                <w:i/>
                <w:lang w:eastAsia="de-DE"/>
              </w:rPr>
              <w:t>Oehler, Dietrich</w:t>
            </w:r>
            <w:r w:rsidRPr="001C548C">
              <w:rPr>
                <w:lang w:eastAsia="de-DE"/>
              </w:rPr>
              <w:t xml:space="preserve">, </w:t>
            </w:r>
            <w:r w:rsidRPr="0059682B">
              <w:rPr>
                <w:iCs/>
                <w:lang w:eastAsia="de-DE"/>
              </w:rPr>
              <w:t>Internationales Strafrecht</w:t>
            </w:r>
            <w:r w:rsidRPr="0059682B">
              <w:rPr>
                <w:lang w:eastAsia="de-DE"/>
              </w:rPr>
              <w:t>, 2nd ed.</w:t>
            </w:r>
            <w:r w:rsidRPr="001C548C">
              <w:rPr>
                <w:lang w:eastAsia="de-DE"/>
              </w:rPr>
              <w:t>, Köln 1983</w:t>
            </w:r>
          </w:p>
        </w:tc>
      </w:tr>
      <w:tr w:rsidR="003F111F" w:rsidRPr="00E01022" w14:paraId="356F2E25" w14:textId="77777777" w:rsidTr="00BE1E22">
        <w:tc>
          <w:tcPr>
            <w:tcW w:w="2263" w:type="dxa"/>
          </w:tcPr>
          <w:p w14:paraId="39B5F8BA" w14:textId="77777777" w:rsidR="003F111F" w:rsidRPr="00E01022" w:rsidRDefault="003F111F" w:rsidP="00BE1E22">
            <w:pPr>
              <w:spacing w:line="360" w:lineRule="auto"/>
            </w:pPr>
          </w:p>
        </w:tc>
        <w:tc>
          <w:tcPr>
            <w:tcW w:w="6799" w:type="dxa"/>
          </w:tcPr>
          <w:p w14:paraId="1513D8C1" w14:textId="77777777" w:rsidR="003F111F" w:rsidRPr="00E01022" w:rsidRDefault="003F111F" w:rsidP="00BE1E22">
            <w:pPr>
              <w:spacing w:line="360" w:lineRule="auto"/>
            </w:pPr>
          </w:p>
        </w:tc>
      </w:tr>
      <w:tr w:rsidR="003F111F" w:rsidRPr="00E01022" w14:paraId="03EC0E87" w14:textId="77777777" w:rsidTr="00BE1E22">
        <w:tc>
          <w:tcPr>
            <w:tcW w:w="9062" w:type="dxa"/>
            <w:gridSpan w:val="2"/>
          </w:tcPr>
          <w:p w14:paraId="054A069B" w14:textId="77777777" w:rsidR="003F111F" w:rsidRPr="007853E5" w:rsidRDefault="003F111F" w:rsidP="00BE1E22">
            <w:pPr>
              <w:spacing w:line="360" w:lineRule="auto"/>
              <w:rPr>
                <w:lang w:eastAsia="de-DE"/>
              </w:rPr>
            </w:pPr>
            <w:r w:rsidRPr="007853E5">
              <w:rPr>
                <w:lang w:eastAsia="de-DE"/>
              </w:rPr>
              <w:t xml:space="preserve">Patzak, Jörn/Fabricius, Jochen (Eds.), Betäubungsmittelgesetz </w:t>
            </w:r>
            <w:r w:rsidRPr="007D0C1E">
              <w:rPr>
                <w:lang w:eastAsia="de-DE"/>
              </w:rPr>
              <w:t>(</w:t>
            </w:r>
            <w:r w:rsidRPr="0059682B">
              <w:rPr>
                <w:iCs/>
                <w:lang w:eastAsia="de-DE"/>
              </w:rPr>
              <w:t>BtMG</w:t>
            </w:r>
            <w:r w:rsidRPr="007D0C1E">
              <w:rPr>
                <w:iCs/>
                <w:lang w:eastAsia="de-DE"/>
              </w:rPr>
              <w:t>)</w:t>
            </w:r>
            <w:r w:rsidRPr="0059682B">
              <w:rPr>
                <w:lang w:eastAsia="de-DE"/>
              </w:rPr>
              <w:t>, 1</w:t>
            </w:r>
            <w:r w:rsidRPr="007853E5">
              <w:rPr>
                <w:lang w:eastAsia="de-DE"/>
              </w:rPr>
              <w:t>1</w:t>
            </w:r>
            <w:r w:rsidRPr="0059682B">
              <w:rPr>
                <w:lang w:eastAsia="de-DE"/>
              </w:rPr>
              <w:t>th ed.</w:t>
            </w:r>
            <w:r>
              <w:rPr>
                <w:lang w:eastAsia="de-DE"/>
              </w:rPr>
              <w:t>, München</w:t>
            </w:r>
            <w:r w:rsidRPr="0059682B">
              <w:rPr>
                <w:lang w:eastAsia="de-DE"/>
              </w:rPr>
              <w:t xml:space="preserve"> 202</w:t>
            </w:r>
            <w:r>
              <w:rPr>
                <w:lang w:eastAsia="de-DE"/>
              </w:rPr>
              <w:t>4</w:t>
            </w:r>
          </w:p>
        </w:tc>
      </w:tr>
      <w:tr w:rsidR="003F111F" w:rsidRPr="00E01022" w14:paraId="6A665AA2" w14:textId="77777777" w:rsidTr="00BE1E22">
        <w:tc>
          <w:tcPr>
            <w:tcW w:w="2263" w:type="dxa"/>
          </w:tcPr>
          <w:p w14:paraId="11F5F696" w14:textId="77777777" w:rsidR="003F111F" w:rsidRPr="00E01022" w:rsidRDefault="003F111F" w:rsidP="00BE1E22">
            <w:pPr>
              <w:spacing w:line="360" w:lineRule="auto"/>
            </w:pPr>
          </w:p>
        </w:tc>
        <w:tc>
          <w:tcPr>
            <w:tcW w:w="6799" w:type="dxa"/>
          </w:tcPr>
          <w:p w14:paraId="24018C0B" w14:textId="77777777" w:rsidR="003F111F" w:rsidRPr="00E01022" w:rsidRDefault="003F111F" w:rsidP="00BE1E22">
            <w:pPr>
              <w:spacing w:line="360" w:lineRule="auto"/>
            </w:pPr>
          </w:p>
        </w:tc>
      </w:tr>
      <w:tr w:rsidR="003F111F" w:rsidRPr="00E01022" w14:paraId="404307A6" w14:textId="77777777" w:rsidTr="00BE1E22">
        <w:tc>
          <w:tcPr>
            <w:tcW w:w="9062" w:type="dxa"/>
            <w:gridSpan w:val="2"/>
          </w:tcPr>
          <w:p w14:paraId="73AFF47B" w14:textId="77777777" w:rsidR="003F111F" w:rsidRPr="005534A5" w:rsidRDefault="003F111F" w:rsidP="00BE1E22">
            <w:pPr>
              <w:spacing w:line="360" w:lineRule="auto"/>
              <w:rPr>
                <w:kern w:val="2"/>
                <w14:ligatures w14:val="standardContextual"/>
              </w:rPr>
            </w:pPr>
            <w:r w:rsidRPr="0005540D">
              <w:rPr>
                <w:i/>
                <w:kern w:val="2"/>
                <w14:ligatures w14:val="standardContextual"/>
              </w:rPr>
              <w:t xml:space="preserve">Rinio, </w:t>
            </w:r>
            <w:r w:rsidRPr="005534A5">
              <w:rPr>
                <w:i/>
                <w:kern w:val="2"/>
                <w14:ligatures w14:val="standardContextual"/>
              </w:rPr>
              <w:t>Carsten</w:t>
            </w:r>
            <w:r w:rsidRPr="005534A5">
              <w:rPr>
                <w:kern w:val="2"/>
                <w14:ligatures w14:val="standardContextual"/>
              </w:rPr>
              <w:t xml:space="preserve">, </w:t>
            </w:r>
            <w:r w:rsidRPr="0005540D">
              <w:rPr>
                <w:kern w:val="2"/>
                <w14:ligatures w14:val="standardContextual"/>
              </w:rPr>
              <w:t xml:space="preserve">Hauptverhandlung per Videokonferenz im Wege der internationalen Rechtshilfe in Strafsachen, </w:t>
            </w:r>
            <w:r w:rsidRPr="005534A5">
              <w:rPr>
                <w:kern w:val="2"/>
                <w14:ligatures w14:val="standardContextual"/>
              </w:rPr>
              <w:t xml:space="preserve">(2004) </w:t>
            </w:r>
            <w:r w:rsidRPr="0005540D">
              <w:rPr>
                <w:kern w:val="2"/>
                <w14:ligatures w14:val="standardContextual"/>
              </w:rPr>
              <w:t>Neue Zeitschrift für Strafrecht</w:t>
            </w:r>
            <w:r w:rsidRPr="005534A5">
              <w:rPr>
                <w:kern w:val="2"/>
                <w14:ligatures w14:val="standardContextual"/>
              </w:rPr>
              <w:t xml:space="preserve"> (NStZ)</w:t>
            </w:r>
            <w:r w:rsidRPr="0005540D">
              <w:rPr>
                <w:kern w:val="2"/>
                <w14:ligatures w14:val="standardContextual"/>
              </w:rPr>
              <w:t>,</w:t>
            </w:r>
            <w:r w:rsidRPr="0005540D">
              <w:rPr>
                <w:i/>
                <w:kern w:val="2"/>
                <w14:ligatures w14:val="standardContextual"/>
              </w:rPr>
              <w:t xml:space="preserve"> </w:t>
            </w:r>
            <w:r w:rsidRPr="0005540D">
              <w:rPr>
                <w:kern w:val="2"/>
                <w14:ligatures w14:val="standardContextual"/>
              </w:rPr>
              <w:t>188</w:t>
            </w:r>
            <w:r w:rsidRPr="005534A5">
              <w:rPr>
                <w:kern w:val="2"/>
                <w14:ligatures w14:val="standardContextual"/>
              </w:rPr>
              <w:t>-191</w:t>
            </w:r>
          </w:p>
        </w:tc>
      </w:tr>
      <w:tr w:rsidR="003F111F" w:rsidRPr="00E01022" w14:paraId="388DCC60" w14:textId="77777777" w:rsidTr="00BE1E22">
        <w:trPr>
          <w:trHeight w:val="328"/>
        </w:trPr>
        <w:tc>
          <w:tcPr>
            <w:tcW w:w="9062" w:type="dxa"/>
            <w:gridSpan w:val="2"/>
          </w:tcPr>
          <w:p w14:paraId="6689339C" w14:textId="77777777" w:rsidR="003F111F" w:rsidRPr="0005540D" w:rsidRDefault="003F111F" w:rsidP="00BE1E22">
            <w:pPr>
              <w:spacing w:line="360" w:lineRule="auto"/>
              <w:rPr>
                <w:kern w:val="2"/>
                <w14:ligatures w14:val="standardContextual"/>
              </w:rPr>
            </w:pPr>
          </w:p>
        </w:tc>
      </w:tr>
      <w:tr w:rsidR="003F111F" w:rsidRPr="00E01022" w14:paraId="4A9E2DE0" w14:textId="77777777" w:rsidTr="00BE1E22">
        <w:tc>
          <w:tcPr>
            <w:tcW w:w="9062" w:type="dxa"/>
            <w:gridSpan w:val="2"/>
          </w:tcPr>
          <w:p w14:paraId="32E65D83" w14:textId="77777777" w:rsidR="003F111F" w:rsidRPr="005B5A95" w:rsidRDefault="003F111F" w:rsidP="00BE1E22">
            <w:pPr>
              <w:spacing w:line="360" w:lineRule="auto"/>
              <w:rPr>
                <w:kern w:val="2"/>
                <w14:ligatures w14:val="standardContextual"/>
              </w:rPr>
            </w:pPr>
            <w:r w:rsidRPr="00E50DD4">
              <w:rPr>
                <w:i/>
                <w:lang w:val="nl-NL"/>
              </w:rPr>
              <w:t>Roth,</w:t>
            </w:r>
            <w:r w:rsidRPr="005B5A95">
              <w:rPr>
                <w:i/>
                <w:lang w:val="nl-NL"/>
              </w:rPr>
              <w:t xml:space="preserve"> Alexander</w:t>
            </w:r>
            <w:r w:rsidRPr="005B5A95">
              <w:rPr>
                <w:lang w:val="nl-NL"/>
              </w:rPr>
              <w:t>,</w:t>
            </w:r>
            <w:r w:rsidRPr="00E50DD4">
              <w:rPr>
                <w:lang w:val="nl-NL"/>
              </w:rPr>
              <w:t xml:space="preserve"> Die grenzüberschreitende Videovernehmung von Zeugen und Beschuldigten, </w:t>
            </w:r>
            <w:r>
              <w:rPr>
                <w:lang w:val="nl-NL"/>
              </w:rPr>
              <w:t xml:space="preserve">(2024) </w:t>
            </w:r>
            <w:r w:rsidRPr="00E50DD4">
              <w:rPr>
                <w:lang w:val="nl-NL"/>
              </w:rPr>
              <w:t>Neue Zeitschrift für Strafrecht</w:t>
            </w:r>
            <w:r w:rsidRPr="005B5A95">
              <w:rPr>
                <w:lang w:val="nl-NL"/>
              </w:rPr>
              <w:t xml:space="preserve"> (NStZ)</w:t>
            </w:r>
            <w:r w:rsidRPr="00E50DD4">
              <w:rPr>
                <w:lang w:val="nl-NL"/>
              </w:rPr>
              <w:t>, 329</w:t>
            </w:r>
            <w:r w:rsidRPr="005B5A95">
              <w:rPr>
                <w:lang w:val="nl-NL"/>
              </w:rPr>
              <w:t>-337</w:t>
            </w:r>
          </w:p>
        </w:tc>
      </w:tr>
      <w:tr w:rsidR="003F111F" w:rsidRPr="00E01022" w14:paraId="4FE4FC27" w14:textId="77777777" w:rsidTr="00BE1E22">
        <w:tc>
          <w:tcPr>
            <w:tcW w:w="9062" w:type="dxa"/>
            <w:gridSpan w:val="2"/>
          </w:tcPr>
          <w:p w14:paraId="3152C890" w14:textId="77777777" w:rsidR="003F111F" w:rsidRPr="00877F4E" w:rsidRDefault="003F111F" w:rsidP="00BE1E22">
            <w:pPr>
              <w:spacing w:line="360" w:lineRule="auto"/>
              <w:rPr>
                <w:i/>
                <w:lang w:val="nl-NL"/>
              </w:rPr>
            </w:pPr>
          </w:p>
        </w:tc>
      </w:tr>
      <w:tr w:rsidR="003F111F" w:rsidRPr="00E01022" w14:paraId="02B53470" w14:textId="77777777" w:rsidTr="00BE1E22">
        <w:tc>
          <w:tcPr>
            <w:tcW w:w="9062" w:type="dxa"/>
            <w:gridSpan w:val="2"/>
          </w:tcPr>
          <w:p w14:paraId="1EAA34B8" w14:textId="77777777" w:rsidR="003F111F" w:rsidRPr="00877F4E" w:rsidRDefault="003F111F" w:rsidP="00BE1E22">
            <w:r w:rsidRPr="00877F4E">
              <w:rPr>
                <w:i/>
              </w:rPr>
              <w:t>Rothärmel, Michael</w:t>
            </w:r>
            <w:r w:rsidRPr="00877F4E">
              <w:t xml:space="preserve">, Die grenzüberschreitende Abgabe und Übernahme der Bewährungsüberwachung nach Umsetzung des Rahmenbeschlusses 2008/947/JI unter Berücksichtigung von Besonderheiten des Jugendstrafrechts, (2016) </w:t>
            </w:r>
            <w:r w:rsidRPr="00BE1205">
              <w:t>Zeitschrift für Jugendkriminalrecht und Jugendhilfe (ZJJ),</w:t>
            </w:r>
            <w:r w:rsidRPr="006155E0">
              <w:t xml:space="preserve"> </w:t>
            </w:r>
            <w:r w:rsidRPr="00877F4E">
              <w:t>232-235</w:t>
            </w:r>
          </w:p>
        </w:tc>
      </w:tr>
      <w:tr w:rsidR="003F111F" w:rsidRPr="00E01022" w14:paraId="639B81A7" w14:textId="77777777" w:rsidTr="00BE1E22">
        <w:tc>
          <w:tcPr>
            <w:tcW w:w="2263" w:type="dxa"/>
          </w:tcPr>
          <w:p w14:paraId="7CA96C00" w14:textId="77777777" w:rsidR="003F111F" w:rsidRPr="00E01022" w:rsidRDefault="003F111F" w:rsidP="00BE1E22">
            <w:pPr>
              <w:spacing w:line="360" w:lineRule="auto"/>
            </w:pPr>
          </w:p>
        </w:tc>
        <w:tc>
          <w:tcPr>
            <w:tcW w:w="6799" w:type="dxa"/>
          </w:tcPr>
          <w:p w14:paraId="0AA12881" w14:textId="77777777" w:rsidR="003F111F" w:rsidRPr="00E01022" w:rsidRDefault="003F111F" w:rsidP="00BE1E22">
            <w:pPr>
              <w:spacing w:line="360" w:lineRule="auto"/>
            </w:pPr>
          </w:p>
        </w:tc>
      </w:tr>
      <w:tr w:rsidR="003F111F" w:rsidRPr="007D1D54" w14:paraId="5A89099C" w14:textId="77777777" w:rsidTr="00BE1E22">
        <w:tc>
          <w:tcPr>
            <w:tcW w:w="9062" w:type="dxa"/>
            <w:gridSpan w:val="2"/>
          </w:tcPr>
          <w:p w14:paraId="5FC9C4A0" w14:textId="77777777" w:rsidR="003F111F" w:rsidRPr="007D1D54" w:rsidRDefault="003F111F" w:rsidP="00BE1E22">
            <w:pPr>
              <w:spacing w:line="360" w:lineRule="auto"/>
            </w:pPr>
            <w:r>
              <w:t>Schneider, Hartmut (Ed.), Münchener Kommentar zur Strafprozessordnung, Volume 2 , 2nd. ed., München 2024</w:t>
            </w:r>
          </w:p>
        </w:tc>
      </w:tr>
      <w:tr w:rsidR="003F111F" w:rsidRPr="007D1D54" w14:paraId="54A34267" w14:textId="77777777" w:rsidTr="00BE1E22">
        <w:tc>
          <w:tcPr>
            <w:tcW w:w="9062" w:type="dxa"/>
            <w:gridSpan w:val="2"/>
          </w:tcPr>
          <w:p w14:paraId="56429D8E" w14:textId="77777777" w:rsidR="003F111F" w:rsidRDefault="003F111F" w:rsidP="00BE1E22">
            <w:pPr>
              <w:spacing w:line="360" w:lineRule="auto"/>
            </w:pPr>
          </w:p>
        </w:tc>
      </w:tr>
      <w:tr w:rsidR="003F111F" w:rsidRPr="007D1D54" w14:paraId="609AB277" w14:textId="77777777" w:rsidTr="00BE1E22">
        <w:tc>
          <w:tcPr>
            <w:tcW w:w="9062" w:type="dxa"/>
            <w:gridSpan w:val="2"/>
          </w:tcPr>
          <w:p w14:paraId="16373FE3" w14:textId="77777777" w:rsidR="003F111F" w:rsidRDefault="003F111F" w:rsidP="00BE1E22">
            <w:pPr>
              <w:spacing w:line="360" w:lineRule="auto"/>
            </w:pPr>
            <w:r>
              <w:t>Schomburg, Wolfgang/Lagodny, Otto/Gleß, Sabine/Hackner, Thomas (Eds.), Internationale Rechtshilfe in Strafsachen, 6th ed., München 2020</w:t>
            </w:r>
          </w:p>
        </w:tc>
      </w:tr>
      <w:tr w:rsidR="003F111F" w:rsidRPr="007D1D54" w14:paraId="64C902C3" w14:textId="77777777" w:rsidTr="00BE1E22">
        <w:tc>
          <w:tcPr>
            <w:tcW w:w="9062" w:type="dxa"/>
            <w:gridSpan w:val="2"/>
          </w:tcPr>
          <w:p w14:paraId="29BD789E" w14:textId="77777777" w:rsidR="003F111F" w:rsidRDefault="003F111F" w:rsidP="00BE1E22">
            <w:pPr>
              <w:spacing w:line="360" w:lineRule="auto"/>
            </w:pPr>
          </w:p>
        </w:tc>
      </w:tr>
      <w:tr w:rsidR="003F111F" w:rsidRPr="007D1D54" w14:paraId="42CBEE51" w14:textId="77777777" w:rsidTr="00BE1E22">
        <w:tc>
          <w:tcPr>
            <w:tcW w:w="9062" w:type="dxa"/>
            <w:gridSpan w:val="2"/>
          </w:tcPr>
          <w:p w14:paraId="0E7BE9FB" w14:textId="77777777" w:rsidR="003F111F" w:rsidRPr="00772229" w:rsidRDefault="003F111F" w:rsidP="00BE1E22">
            <w:pPr>
              <w:spacing w:line="360" w:lineRule="auto"/>
            </w:pPr>
            <w:r w:rsidRPr="00E50DD4">
              <w:rPr>
                <w:i/>
              </w:rPr>
              <w:lastRenderedPageBreak/>
              <w:t xml:space="preserve">Seifert, </w:t>
            </w:r>
            <w:r w:rsidRPr="00772229">
              <w:rPr>
                <w:i/>
              </w:rPr>
              <w:t>Martin</w:t>
            </w:r>
            <w:r w:rsidRPr="00772229">
              <w:t xml:space="preserve">, </w:t>
            </w:r>
            <w:r w:rsidRPr="00E50DD4">
              <w:t xml:space="preserve">Zustellungsvollmacht, Strafbefehlsverfahren und der fair-trial-Grundsatz, </w:t>
            </w:r>
            <w:r>
              <w:t xml:space="preserve">(2018) </w:t>
            </w:r>
            <w:r w:rsidRPr="00E50DD4">
              <w:t>Strafverteidiger</w:t>
            </w:r>
            <w:r w:rsidRPr="00772229">
              <w:t xml:space="preserve"> (StV)</w:t>
            </w:r>
            <w:r w:rsidRPr="00E50DD4">
              <w:rPr>
                <w:i/>
              </w:rPr>
              <w:t xml:space="preserve">, </w:t>
            </w:r>
            <w:r w:rsidRPr="00E50DD4">
              <w:t>123</w:t>
            </w:r>
            <w:r w:rsidRPr="00772229">
              <w:t>-128</w:t>
            </w:r>
          </w:p>
        </w:tc>
      </w:tr>
      <w:tr w:rsidR="003F111F" w:rsidRPr="007D1D54" w14:paraId="3B78AA48" w14:textId="77777777" w:rsidTr="00BE1E22">
        <w:tc>
          <w:tcPr>
            <w:tcW w:w="9062" w:type="dxa"/>
            <w:gridSpan w:val="2"/>
          </w:tcPr>
          <w:p w14:paraId="248272BE" w14:textId="77777777" w:rsidR="003F111F" w:rsidRDefault="003F111F" w:rsidP="00BE1E22">
            <w:pPr>
              <w:spacing w:line="360" w:lineRule="auto"/>
            </w:pPr>
          </w:p>
        </w:tc>
      </w:tr>
      <w:tr w:rsidR="003F111F" w:rsidRPr="007D1D54" w14:paraId="10BC6A83" w14:textId="77777777" w:rsidTr="00BE1205">
        <w:tc>
          <w:tcPr>
            <w:tcW w:w="9062" w:type="dxa"/>
            <w:gridSpan w:val="2"/>
          </w:tcPr>
          <w:p w14:paraId="1F295C08" w14:textId="77777777" w:rsidR="003F111F" w:rsidRPr="002C5D9A" w:rsidRDefault="003F111F" w:rsidP="00BE1E22">
            <w:pPr>
              <w:spacing w:line="360" w:lineRule="auto"/>
              <w:rPr>
                <w:lang w:eastAsia="de-DE"/>
              </w:rPr>
            </w:pPr>
            <w:r w:rsidRPr="0059682B">
              <w:rPr>
                <w:iCs/>
                <w:lang w:eastAsia="de-DE"/>
              </w:rPr>
              <w:t>Sieber</w:t>
            </w:r>
            <w:r w:rsidRPr="00ED0BC8">
              <w:rPr>
                <w:iCs/>
                <w:lang w:eastAsia="de-DE"/>
              </w:rPr>
              <w:t>, Ulrich</w:t>
            </w:r>
            <w:r w:rsidRPr="0059682B">
              <w:rPr>
                <w:iCs/>
                <w:lang w:eastAsia="de-DE"/>
              </w:rPr>
              <w:t>/Satzger</w:t>
            </w:r>
            <w:r w:rsidRPr="00ED0BC8">
              <w:rPr>
                <w:iCs/>
                <w:lang w:eastAsia="de-DE"/>
              </w:rPr>
              <w:t>, Helmut</w:t>
            </w:r>
            <w:r w:rsidRPr="0059682B">
              <w:rPr>
                <w:iCs/>
                <w:lang w:eastAsia="de-DE"/>
              </w:rPr>
              <w:t>/von Heintschel-Heinegg</w:t>
            </w:r>
            <w:r w:rsidRPr="00ED0BC8">
              <w:rPr>
                <w:iCs/>
                <w:lang w:eastAsia="de-DE"/>
              </w:rPr>
              <w:t>, Bernd</w:t>
            </w:r>
            <w:r w:rsidRPr="0059682B">
              <w:rPr>
                <w:iCs/>
                <w:lang w:eastAsia="de-DE"/>
              </w:rPr>
              <w:t xml:space="preserve"> (Eds.), Europäisches Strafrecht</w:t>
            </w:r>
            <w:r w:rsidRPr="0059682B">
              <w:rPr>
                <w:lang w:eastAsia="de-DE"/>
              </w:rPr>
              <w:t>, 2nd ed.</w:t>
            </w:r>
            <w:r>
              <w:rPr>
                <w:lang w:eastAsia="de-DE"/>
              </w:rPr>
              <w:t>, Baden-Baden 2014</w:t>
            </w:r>
          </w:p>
        </w:tc>
      </w:tr>
      <w:tr w:rsidR="003F111F" w:rsidRPr="002C5D9A" w14:paraId="6EFA48CD" w14:textId="77777777" w:rsidTr="003F11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3" w:type="dxa"/>
            <w:tcBorders>
              <w:top w:val="nil"/>
              <w:left w:val="nil"/>
              <w:bottom w:val="nil"/>
              <w:right w:val="nil"/>
            </w:tcBorders>
          </w:tcPr>
          <w:p w14:paraId="274EE1A2" w14:textId="77777777" w:rsidR="003F111F" w:rsidRPr="002C5D9A" w:rsidRDefault="003F111F" w:rsidP="00BE1E22">
            <w:pPr>
              <w:spacing w:line="360" w:lineRule="auto"/>
            </w:pPr>
          </w:p>
        </w:tc>
        <w:tc>
          <w:tcPr>
            <w:tcW w:w="6799" w:type="dxa"/>
            <w:tcBorders>
              <w:top w:val="nil"/>
              <w:left w:val="nil"/>
              <w:bottom w:val="nil"/>
              <w:right w:val="nil"/>
            </w:tcBorders>
          </w:tcPr>
          <w:p w14:paraId="1832C69E" w14:textId="77777777" w:rsidR="003F111F" w:rsidRPr="002C5D9A" w:rsidRDefault="003F111F" w:rsidP="00BE1E22">
            <w:pPr>
              <w:spacing w:line="360" w:lineRule="auto"/>
            </w:pPr>
          </w:p>
        </w:tc>
      </w:tr>
      <w:tr w:rsidR="003F111F" w:rsidRPr="002C5D9A" w14:paraId="197059AF" w14:textId="77777777" w:rsidTr="00BE1205">
        <w:tc>
          <w:tcPr>
            <w:tcW w:w="9062" w:type="dxa"/>
            <w:gridSpan w:val="2"/>
          </w:tcPr>
          <w:p w14:paraId="12C7E386" w14:textId="77777777" w:rsidR="003F111F" w:rsidRPr="00C0570E" w:rsidRDefault="003F111F" w:rsidP="00BE1E22">
            <w:r w:rsidRPr="00C0570E">
              <w:t>Staudigl, Ulrich/Weber, Sebastian, Europäische Bewährungsüberwachung, (2008) Neue Zeitschrift für Strafrecht (NStZ), 17-19</w:t>
            </w:r>
          </w:p>
        </w:tc>
      </w:tr>
      <w:tr w:rsidR="003F111F" w:rsidRPr="002C5D9A" w14:paraId="04349F2A" w14:textId="77777777" w:rsidTr="00BE1E22">
        <w:tc>
          <w:tcPr>
            <w:tcW w:w="2263" w:type="dxa"/>
          </w:tcPr>
          <w:p w14:paraId="062D456D" w14:textId="77777777" w:rsidR="003F111F" w:rsidRPr="002C5D9A" w:rsidRDefault="003F111F" w:rsidP="00BE1E22">
            <w:pPr>
              <w:spacing w:line="360" w:lineRule="auto"/>
            </w:pPr>
          </w:p>
        </w:tc>
        <w:tc>
          <w:tcPr>
            <w:tcW w:w="6799" w:type="dxa"/>
          </w:tcPr>
          <w:p w14:paraId="11CD1894" w14:textId="77777777" w:rsidR="003F111F" w:rsidRPr="002C5D9A" w:rsidRDefault="003F111F" w:rsidP="00BE1E22">
            <w:pPr>
              <w:spacing w:line="360" w:lineRule="auto"/>
            </w:pPr>
          </w:p>
        </w:tc>
      </w:tr>
      <w:tr w:rsidR="003F111F" w:rsidRPr="002C5D9A" w14:paraId="0B4051EB" w14:textId="77777777" w:rsidTr="00BE1E22">
        <w:tc>
          <w:tcPr>
            <w:tcW w:w="9062" w:type="dxa"/>
            <w:gridSpan w:val="2"/>
          </w:tcPr>
          <w:p w14:paraId="71CAC6FA" w14:textId="77777777" w:rsidR="003F111F" w:rsidRPr="00AE6805" w:rsidRDefault="003F111F" w:rsidP="00BE1E22">
            <w:pPr>
              <w:spacing w:line="360" w:lineRule="auto"/>
            </w:pPr>
            <w:r w:rsidRPr="00AE6805">
              <w:rPr>
                <w:i/>
              </w:rPr>
              <w:t>Voß, Wiebke/Singer, Johanna</w:t>
            </w:r>
            <w:r w:rsidRPr="00AE6805">
              <w:t xml:space="preserve">, Digitalisierung der justiziellen Zusammenarbeit, </w:t>
            </w:r>
            <w:r>
              <w:t xml:space="preserve">(2024) </w:t>
            </w:r>
            <w:r w:rsidRPr="00AE6805">
              <w:t>Recht Digital (RDi), 173-179</w:t>
            </w:r>
          </w:p>
        </w:tc>
      </w:tr>
      <w:tr w:rsidR="003F111F" w:rsidRPr="002C5D9A" w14:paraId="204A0104" w14:textId="77777777" w:rsidTr="00BE1E22">
        <w:tc>
          <w:tcPr>
            <w:tcW w:w="2263" w:type="dxa"/>
          </w:tcPr>
          <w:p w14:paraId="3D9369D5" w14:textId="77777777" w:rsidR="003F111F" w:rsidRPr="002C5D9A" w:rsidRDefault="003F111F" w:rsidP="00BE1E22">
            <w:pPr>
              <w:spacing w:line="360" w:lineRule="auto"/>
            </w:pPr>
          </w:p>
        </w:tc>
        <w:tc>
          <w:tcPr>
            <w:tcW w:w="6799" w:type="dxa"/>
          </w:tcPr>
          <w:p w14:paraId="5B4FD277" w14:textId="77777777" w:rsidR="003F111F" w:rsidRPr="002C5D9A" w:rsidRDefault="003F111F" w:rsidP="00BE1E22">
            <w:pPr>
              <w:spacing w:line="360" w:lineRule="auto"/>
            </w:pPr>
          </w:p>
        </w:tc>
      </w:tr>
      <w:tr w:rsidR="003F111F" w:rsidRPr="002C5D9A" w14:paraId="24613E6B" w14:textId="77777777" w:rsidTr="00BE1E22">
        <w:tc>
          <w:tcPr>
            <w:tcW w:w="9062" w:type="dxa"/>
            <w:gridSpan w:val="2"/>
          </w:tcPr>
          <w:p w14:paraId="5BC79B9B" w14:textId="77777777" w:rsidR="003F111F" w:rsidRDefault="003F111F" w:rsidP="00BE1E22">
            <w:pPr>
              <w:spacing w:line="360" w:lineRule="auto"/>
            </w:pPr>
            <w:r w:rsidRPr="00172EB1">
              <w:rPr>
                <w:i/>
              </w:rPr>
              <w:t xml:space="preserve">Wolf, </w:t>
            </w:r>
            <w:r w:rsidRPr="000D0474">
              <w:rPr>
                <w:i/>
              </w:rPr>
              <w:t>Lara</w:t>
            </w:r>
            <w:r w:rsidRPr="000D0474">
              <w:t xml:space="preserve">, </w:t>
            </w:r>
            <w:r w:rsidRPr="00172EB1">
              <w:t xml:space="preserve">Fluchtvermutung statt Fluchtprognose - zur Diskriminierung von EU-Ausländern in der Fluchtgefahrpraxis, </w:t>
            </w:r>
            <w:r>
              <w:t xml:space="preserve">(2019) </w:t>
            </w:r>
            <w:r w:rsidRPr="00172EB1">
              <w:t>Strafverteidiger</w:t>
            </w:r>
            <w:r w:rsidRPr="000D0474">
              <w:t xml:space="preserve"> (StV)</w:t>
            </w:r>
            <w:r w:rsidRPr="00172EB1">
              <w:t>, 573</w:t>
            </w:r>
            <w:r w:rsidRPr="000D0474">
              <w:t>-578</w:t>
            </w:r>
          </w:p>
          <w:p w14:paraId="5215AB80" w14:textId="4F4D1912" w:rsidR="003F111F" w:rsidRPr="000D0474" w:rsidRDefault="003F111F" w:rsidP="00BE1E22">
            <w:pPr>
              <w:spacing w:line="360" w:lineRule="auto"/>
            </w:pPr>
          </w:p>
        </w:tc>
      </w:tr>
    </w:tbl>
    <w:p w14:paraId="74F42080" w14:textId="77777777" w:rsidR="003F111F" w:rsidRPr="00BE1205" w:rsidRDefault="003F111F" w:rsidP="00777A20">
      <w:pPr>
        <w:spacing w:after="160" w:line="259" w:lineRule="auto"/>
        <w:jc w:val="both"/>
      </w:pPr>
    </w:p>
    <w:p w14:paraId="26F9CCC6" w14:textId="77777777" w:rsidR="001064CA" w:rsidRPr="003A29A2" w:rsidRDefault="001064CA" w:rsidP="00777A20">
      <w:pPr>
        <w:spacing w:line="360" w:lineRule="auto"/>
        <w:jc w:val="both"/>
        <w:rPr>
          <w:rFonts w:ascii="Verdana" w:hAnsi="Verdana"/>
          <w:sz w:val="20"/>
          <w:szCs w:val="20"/>
        </w:rPr>
      </w:pPr>
      <w:r w:rsidRPr="003A29A2">
        <w:rPr>
          <w:rFonts w:ascii="Verdana" w:hAnsi="Verdana"/>
          <w:noProof/>
          <w:sz w:val="20"/>
          <w:szCs w:val="20"/>
          <w:lang w:val="de-DE" w:eastAsia="de-DE"/>
        </w:rPr>
        <w:drawing>
          <wp:inline distT="0" distB="0" distL="0" distR="0" wp14:anchorId="02B338C5" wp14:editId="30958761">
            <wp:extent cx="1924050" cy="782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4050" cy="782320"/>
                    </a:xfrm>
                    <a:prstGeom prst="rect">
                      <a:avLst/>
                    </a:prstGeom>
                    <a:noFill/>
                    <a:ln>
                      <a:noFill/>
                    </a:ln>
                  </pic:spPr>
                </pic:pic>
              </a:graphicData>
            </a:graphic>
          </wp:inline>
        </w:drawing>
      </w:r>
    </w:p>
    <w:p w14:paraId="054B69B2" w14:textId="49386627" w:rsidR="00006663" w:rsidRPr="00006663" w:rsidRDefault="001064CA" w:rsidP="00777A20">
      <w:pPr>
        <w:spacing w:line="360" w:lineRule="auto"/>
        <w:jc w:val="both"/>
        <w:rPr>
          <w:b/>
          <w:lang w:val="en-GB"/>
        </w:rPr>
      </w:pPr>
      <w:r>
        <w:rPr>
          <w:rFonts w:ascii="Verdana" w:hAnsi="Verdana"/>
          <w:sz w:val="20"/>
          <w:szCs w:val="20"/>
        </w:rPr>
        <w:t>Justice Programme (JUST)</w:t>
      </w:r>
      <w:r w:rsidRPr="003A29A2">
        <w:rPr>
          <w:rFonts w:ascii="Verdana" w:hAnsi="Verdana"/>
          <w:sz w:val="20"/>
          <w:szCs w:val="20"/>
        </w:rPr>
        <w:t xml:space="preserve"> – JUST-2022-JCOO</w:t>
      </w:r>
    </w:p>
    <w:sectPr w:rsidR="00006663" w:rsidRPr="00006663" w:rsidSect="0062203F">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FC295" w14:textId="77777777" w:rsidR="00483C76" w:rsidRDefault="00483C76" w:rsidP="00B73167">
      <w:r>
        <w:separator/>
      </w:r>
    </w:p>
  </w:endnote>
  <w:endnote w:type="continuationSeparator" w:id="0">
    <w:p w14:paraId="39D619E4" w14:textId="77777777" w:rsidR="00483C76" w:rsidRDefault="00483C76" w:rsidP="00B73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altName w:val="Arial"/>
    <w:charset w:val="00"/>
    <w:family w:val="auto"/>
    <w:pitch w:val="variable"/>
    <w:sig w:usb0="E0000AFF" w:usb1="5000217F" w:usb2="00000021" w:usb3="00000000" w:csb0="0000019F" w:csb1="00000000"/>
  </w:font>
  <w:font w:name="Open Sans">
    <w:altName w:val="Segoe UI"/>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2873801"/>
      <w:docPartObj>
        <w:docPartGallery w:val="Page Numbers (Bottom of Page)"/>
        <w:docPartUnique/>
      </w:docPartObj>
    </w:sdtPr>
    <w:sdtEndPr>
      <w:rPr>
        <w:noProof/>
      </w:rPr>
    </w:sdtEndPr>
    <w:sdtContent>
      <w:p w14:paraId="77B0E710" w14:textId="744F703C" w:rsidR="00D81F47" w:rsidRDefault="00D81F47" w:rsidP="00223A68">
        <w:pPr>
          <w:pStyle w:val="Fuzeile"/>
          <w:jc w:val="right"/>
        </w:pPr>
        <w:r>
          <w:fldChar w:fldCharType="begin"/>
        </w:r>
        <w:r>
          <w:instrText xml:space="preserve"> PAGE   \* MERGEFORMAT </w:instrText>
        </w:r>
        <w:r>
          <w:fldChar w:fldCharType="separate"/>
        </w:r>
        <w:r w:rsidR="003D3705">
          <w:rPr>
            <w:noProof/>
          </w:rPr>
          <w:t>65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F229F" w14:textId="77777777" w:rsidR="00483C76" w:rsidRDefault="00483C76" w:rsidP="00B73167">
      <w:r>
        <w:separator/>
      </w:r>
    </w:p>
  </w:footnote>
  <w:footnote w:type="continuationSeparator" w:id="0">
    <w:p w14:paraId="20C8A468" w14:textId="77777777" w:rsidR="00483C76" w:rsidRDefault="00483C76" w:rsidP="00B73167">
      <w:r>
        <w:continuationSeparator/>
      </w:r>
    </w:p>
  </w:footnote>
  <w:footnote w:id="1">
    <w:p w14:paraId="1A1AE34B" w14:textId="648BB52E" w:rsidR="00D81F47" w:rsidRPr="00B97282" w:rsidRDefault="00D81F47" w:rsidP="00B73167">
      <w:pPr>
        <w:pStyle w:val="Funotentext"/>
        <w:jc w:val="both"/>
        <w:rPr>
          <w:lang w:val="en-US"/>
        </w:rPr>
      </w:pPr>
      <w:r w:rsidRPr="00353C2A">
        <w:rPr>
          <w:rStyle w:val="Funotenzeichen"/>
          <w:rFonts w:eastAsiaTheme="majorEastAsia"/>
        </w:rPr>
        <w:footnoteRef/>
      </w:r>
      <w:r w:rsidRPr="00353C2A">
        <w:rPr>
          <w:lang w:val="en-US"/>
        </w:rPr>
        <w:t xml:space="preserve"> To be effective and coherent in the application of mutual recognition instruments in an individual case, available instruments should not be overlooked (</w:t>
      </w:r>
      <w:r w:rsidRPr="00353C2A">
        <w:rPr>
          <w:b/>
          <w:lang w:val="en-US"/>
        </w:rPr>
        <w:t>comprehensiveness</w:t>
      </w:r>
      <w:r w:rsidRPr="00353C2A">
        <w:rPr>
          <w:lang w:val="en-US"/>
        </w:rPr>
        <w:t>), decisions to apply an instrument should not be contradictory (</w:t>
      </w:r>
      <w:r w:rsidRPr="00353C2A">
        <w:rPr>
          <w:b/>
          <w:lang w:val="en-US"/>
        </w:rPr>
        <w:t>consistency</w:t>
      </w:r>
      <w:r w:rsidRPr="00353C2A">
        <w:rPr>
          <w:lang w:val="en-US"/>
        </w:rPr>
        <w:t>), as long as there remains an option this option should be used (</w:t>
      </w:r>
      <w:r w:rsidRPr="00353C2A">
        <w:rPr>
          <w:b/>
          <w:lang w:val="en-US"/>
        </w:rPr>
        <w:t>completeness</w:t>
      </w:r>
      <w:r w:rsidRPr="00353C2A">
        <w:rPr>
          <w:lang w:val="en-US"/>
        </w:rPr>
        <w:t>) and, finally, this has all to be done with the lowest costs (in the broad sense of the word, i.e. in terms of money, time and impact on the requested person) (</w:t>
      </w:r>
      <w:r w:rsidRPr="00353C2A">
        <w:rPr>
          <w:b/>
          <w:lang w:val="en-US"/>
        </w:rPr>
        <w:t>proportionality</w:t>
      </w:r>
      <w:r w:rsidRPr="00353C2A">
        <w:rPr>
          <w:lang w:val="en-US"/>
        </w:rPr>
        <w:t>).</w:t>
      </w:r>
      <w:r>
        <w:rPr>
          <w:lang w:val="en-US"/>
        </w:rPr>
        <w:t xml:space="preserve"> See </w:t>
      </w:r>
      <w:r w:rsidRPr="00B97282">
        <w:rPr>
          <w:i/>
          <w:iCs/>
          <w:lang w:val="en-GB"/>
        </w:rPr>
        <w:t>MR2.0: some preliminary explorations</w:t>
      </w:r>
      <w:r>
        <w:rPr>
          <w:lang w:val="en-GB"/>
        </w:rPr>
        <w:t>.</w:t>
      </w:r>
    </w:p>
  </w:footnote>
  <w:footnote w:id="2">
    <w:p w14:paraId="148E761C" w14:textId="77777777" w:rsidR="00D81F47" w:rsidRPr="00353C2A" w:rsidRDefault="00D81F47" w:rsidP="00B73167">
      <w:pPr>
        <w:pStyle w:val="Funotentext"/>
        <w:jc w:val="both"/>
        <w:rPr>
          <w:lang w:val="en-GB"/>
        </w:rPr>
      </w:pPr>
      <w:r w:rsidRPr="00353C2A">
        <w:rPr>
          <w:rStyle w:val="Funotenzeichen"/>
          <w:rFonts w:eastAsiaTheme="majorEastAsia"/>
        </w:rPr>
        <w:footnoteRef/>
      </w:r>
      <w:r w:rsidRPr="00353C2A">
        <w:rPr>
          <w:lang w:val="en-GB"/>
        </w:rPr>
        <w:t xml:space="preserve"> And, where necessary, the knowledge of other experts. </w:t>
      </w:r>
    </w:p>
  </w:footnote>
  <w:footnote w:id="3">
    <w:p w14:paraId="59392185" w14:textId="6026A375" w:rsidR="00D81F47" w:rsidRPr="00777A20" w:rsidRDefault="00D81F47" w:rsidP="00777A20">
      <w:pPr>
        <w:pStyle w:val="Funotentext"/>
        <w:rPr>
          <w:lang w:val="en-GB"/>
        </w:rPr>
      </w:pPr>
      <w:r>
        <w:rPr>
          <w:rStyle w:val="Funotenzeichen"/>
        </w:rPr>
        <w:footnoteRef/>
      </w:r>
      <w:r w:rsidRPr="00777A20">
        <w:rPr>
          <w:lang w:val="en-GB"/>
        </w:rPr>
        <w:t xml:space="preserve"> </w:t>
      </w:r>
      <w:hyperlink r:id="rId1" w:history="1">
        <w:r w:rsidRPr="00282DCD">
          <w:rPr>
            <w:rStyle w:val="Hyperlink"/>
            <w:lang w:val="en-GB"/>
          </w:rPr>
          <w:t>https://www.universiteitleiden.nl/binaries/content/assets/rechtsgeleerdheid/instituut-voor-publiekrecht/europees-recht/houserul2020.pdf</w:t>
        </w:r>
      </w:hyperlink>
      <w:r>
        <w:rPr>
          <w:lang w:val="en-GB"/>
        </w:rPr>
        <w:t>.</w:t>
      </w:r>
    </w:p>
  </w:footnote>
  <w:footnote w:id="4">
    <w:p w14:paraId="3855DD0D" w14:textId="77777777" w:rsidR="00D81F47" w:rsidRPr="00047453" w:rsidRDefault="00D81F47" w:rsidP="00D932F2">
      <w:pPr>
        <w:pStyle w:val="Funotentext"/>
        <w:jc w:val="both"/>
        <w:rPr>
          <w:lang w:val="en-US"/>
        </w:rPr>
      </w:pPr>
      <w:r>
        <w:rPr>
          <w:rStyle w:val="Funotenzeichen"/>
        </w:rPr>
        <w:footnoteRef/>
      </w:r>
      <w:r w:rsidRPr="00047453">
        <w:rPr>
          <w:lang w:val="en-US"/>
        </w:rPr>
        <w:t xml:space="preserve"> </w:t>
      </w:r>
      <w:r w:rsidRPr="00353C2A">
        <w:rPr>
          <w:i/>
          <w:iCs/>
          <w:lang w:val="en-GB"/>
        </w:rPr>
        <w:t>Legenda</w:t>
      </w:r>
      <w:r w:rsidRPr="00353C2A">
        <w:rPr>
          <w:lang w:val="en-GB"/>
        </w:rPr>
        <w:t>: black is unannotated index; red is annotation.</w:t>
      </w:r>
    </w:p>
  </w:footnote>
  <w:footnote w:id="5">
    <w:p w14:paraId="3ECE0550" w14:textId="77777777" w:rsidR="00D81F47" w:rsidRPr="00353C2A" w:rsidRDefault="00D81F47" w:rsidP="00B73167">
      <w:pPr>
        <w:pStyle w:val="Funotentext"/>
        <w:jc w:val="both"/>
        <w:rPr>
          <w:lang w:val="en-GB"/>
        </w:rPr>
      </w:pPr>
      <w:r w:rsidRPr="00353C2A">
        <w:rPr>
          <w:rStyle w:val="Funotenzeichen"/>
          <w:rFonts w:eastAsiaTheme="majorEastAsia"/>
        </w:rPr>
        <w:footnoteRef/>
      </w:r>
      <w:r w:rsidRPr="00353C2A">
        <w:rPr>
          <w:lang w:val="en-GB"/>
        </w:rPr>
        <w:t xml:space="preserve"> </w:t>
      </w:r>
      <w:r w:rsidRPr="00353C2A">
        <w:rPr>
          <w:i/>
          <w:iCs/>
          <w:lang w:val="en-GB"/>
        </w:rPr>
        <w:t>Proposal (amended)</w:t>
      </w:r>
      <w:r w:rsidRPr="00353C2A">
        <w:rPr>
          <w:lang w:val="en-GB"/>
        </w:rPr>
        <w:t>, p. 8.</w:t>
      </w:r>
    </w:p>
  </w:footnote>
  <w:footnote w:id="6">
    <w:p w14:paraId="3F1B70F5" w14:textId="2DD7817D" w:rsidR="00D81F47" w:rsidRPr="00353C2A" w:rsidRDefault="00D81F47" w:rsidP="00B73167">
      <w:pPr>
        <w:pStyle w:val="Funotentext"/>
        <w:jc w:val="both"/>
        <w:rPr>
          <w:i/>
          <w:iCs/>
          <w:lang w:val="en-GB"/>
        </w:rPr>
      </w:pPr>
      <w:r w:rsidRPr="00353C2A">
        <w:rPr>
          <w:rStyle w:val="Funotenzeichen"/>
          <w:rFonts w:eastAsiaTheme="majorEastAsia"/>
        </w:rPr>
        <w:footnoteRef/>
      </w:r>
      <w:r w:rsidRPr="00353C2A">
        <w:rPr>
          <w:lang w:val="en-GB"/>
        </w:rPr>
        <w:t xml:space="preserve"> </w:t>
      </w:r>
      <w:r w:rsidRPr="00353C2A">
        <w:rPr>
          <w:i/>
          <w:iCs/>
          <w:lang w:val="en-GB"/>
        </w:rPr>
        <w:t>Proposal (amended)</w:t>
      </w:r>
      <w:r w:rsidRPr="00353C2A">
        <w:rPr>
          <w:lang w:val="en-GB"/>
        </w:rPr>
        <w:t>, p. 8. With regard to investigation/prosecution we use ‘suspect’, ‘accused person’ or ‘suspect/accused person’.</w:t>
      </w:r>
    </w:p>
  </w:footnote>
  <w:footnote w:id="7">
    <w:p w14:paraId="3FF62FE0" w14:textId="6CA81D83" w:rsidR="00D81F47" w:rsidRPr="00353C2A" w:rsidRDefault="00D81F47" w:rsidP="00B73167">
      <w:pPr>
        <w:pStyle w:val="Funotentext"/>
        <w:jc w:val="both"/>
        <w:rPr>
          <w:lang w:val="en-GB"/>
        </w:rPr>
      </w:pPr>
      <w:r w:rsidRPr="00353C2A">
        <w:rPr>
          <w:rStyle w:val="Funotenzeichen"/>
          <w:rFonts w:eastAsiaTheme="majorEastAsia"/>
        </w:rPr>
        <w:footnoteRef/>
      </w:r>
      <w:r w:rsidRPr="00353C2A">
        <w:rPr>
          <w:lang w:val="en-GB"/>
        </w:rPr>
        <w:t xml:space="preserve"> We use the term ‘detention on remand’ and not ‘pre-trial detention’ because the latter term seems to exclude detention during the trial stage.</w:t>
      </w:r>
    </w:p>
  </w:footnote>
  <w:footnote w:id="8">
    <w:p w14:paraId="3492FE1C" w14:textId="77777777" w:rsidR="00D81F47" w:rsidRPr="00353C2A" w:rsidRDefault="00D81F47" w:rsidP="00777A20">
      <w:pPr>
        <w:pStyle w:val="Funotentext"/>
        <w:jc w:val="both"/>
        <w:rPr>
          <w:lang w:val="en-GB"/>
        </w:rPr>
      </w:pPr>
      <w:r w:rsidRPr="00353C2A">
        <w:rPr>
          <w:rStyle w:val="Funotenzeichen"/>
          <w:rFonts w:eastAsiaTheme="majorEastAsia"/>
        </w:rPr>
        <w:footnoteRef/>
      </w:r>
      <w:r w:rsidRPr="00353C2A">
        <w:rPr>
          <w:lang w:val="en-GB"/>
        </w:rPr>
        <w:t xml:space="preserve"> The focus on proceedings concerning an offence for which detention on remand is (ultimately) possible implies that it is possible to impose a sentence involving deprivation of liberty (</w:t>
      </w:r>
      <w:r w:rsidRPr="00353C2A">
        <w:rPr>
          <w:i/>
          <w:iCs/>
          <w:lang w:val="en-GB"/>
        </w:rPr>
        <w:t>sensu stricto</w:t>
      </w:r>
      <w:r w:rsidRPr="00353C2A">
        <w:rPr>
          <w:lang w:val="en-GB"/>
        </w:rPr>
        <w:t>) for that offence. After all, detention on remand would not be proportionate and would, therefore, be contrary to Article 5 of the ECHR/Article 6 of the Charter, if only a non-custodial sanction could be imposed for the offence.</w:t>
      </w:r>
    </w:p>
    <w:p w14:paraId="062B4248" w14:textId="77777777" w:rsidR="00D81F47" w:rsidRPr="00353C2A" w:rsidRDefault="00D81F47" w:rsidP="00777A20">
      <w:pPr>
        <w:pStyle w:val="Funotentext"/>
        <w:jc w:val="both"/>
        <w:rPr>
          <w:lang w:val="en-GB"/>
        </w:rPr>
      </w:pPr>
      <w:r w:rsidRPr="00353C2A">
        <w:rPr>
          <w:lang w:val="en-GB"/>
        </w:rPr>
        <w:t>Consequently, proceedings concerning an offence, which only carries a non-custodial sanction, are out of scope.</w:t>
      </w:r>
    </w:p>
  </w:footnote>
  <w:footnote w:id="9">
    <w:p w14:paraId="449A69EC" w14:textId="77777777" w:rsidR="00D81F47" w:rsidRPr="00353C2A" w:rsidRDefault="00D81F47" w:rsidP="00777A20">
      <w:pPr>
        <w:pStyle w:val="Funotentext"/>
        <w:jc w:val="both"/>
        <w:rPr>
          <w:lang w:val="en-GB"/>
        </w:rPr>
      </w:pPr>
      <w:r w:rsidRPr="00353C2A">
        <w:rPr>
          <w:rStyle w:val="Funotenzeichen"/>
          <w:rFonts w:eastAsiaTheme="majorEastAsia"/>
        </w:rPr>
        <w:footnoteRef/>
      </w:r>
      <w:r w:rsidRPr="00353C2A">
        <w:rPr>
          <w:lang w:val="en-GB"/>
        </w:rPr>
        <w:t xml:space="preserve"> See </w:t>
      </w:r>
      <w:r w:rsidRPr="00353C2A">
        <w:rPr>
          <w:i/>
          <w:iCs/>
          <w:lang w:val="en-GB"/>
        </w:rPr>
        <w:t>MR2.0: some preliminary explorations</w:t>
      </w:r>
      <w:r w:rsidRPr="00353C2A">
        <w:rPr>
          <w:lang w:val="en-GB"/>
        </w:rPr>
        <w:t>, p. 2.</w:t>
      </w:r>
    </w:p>
  </w:footnote>
  <w:footnote w:id="10">
    <w:p w14:paraId="72DE4B30" w14:textId="687DFE4D" w:rsidR="00D81F47" w:rsidRPr="00353C2A" w:rsidRDefault="00D81F47" w:rsidP="00777A20">
      <w:pPr>
        <w:pStyle w:val="Funotentext"/>
        <w:jc w:val="both"/>
        <w:rPr>
          <w:lang w:val="en-GB"/>
        </w:rPr>
      </w:pPr>
      <w:r w:rsidRPr="00353C2A">
        <w:rPr>
          <w:rStyle w:val="Funotenzeichen"/>
          <w:rFonts w:eastAsiaTheme="majorEastAsia"/>
        </w:rPr>
        <w:footnoteRef/>
      </w:r>
      <w:r w:rsidRPr="00353C2A">
        <w:rPr>
          <w:lang w:val="en-GB"/>
        </w:rPr>
        <w:t xml:space="preserve"> </w:t>
      </w:r>
      <w:r w:rsidRPr="00DF528F">
        <w:rPr>
          <w:i/>
          <w:iCs/>
          <w:lang w:val="en-GB"/>
        </w:rPr>
        <w:t>OJ</w:t>
      </w:r>
      <w:r w:rsidRPr="003E63E0">
        <w:rPr>
          <w:lang w:val="en-GB"/>
        </w:rPr>
        <w:t xml:space="preserve"> </w:t>
      </w:r>
      <w:r w:rsidRPr="00353C2A">
        <w:rPr>
          <w:lang w:val="en-GB"/>
        </w:rPr>
        <w:t xml:space="preserve">2023, L 86/44. See recital (10): ‘Member States should use pre-trial detention only as a measure of last resort. Alternative measures to detention should be preferred (…)’.  </w:t>
      </w:r>
    </w:p>
  </w:footnote>
  <w:footnote w:id="11">
    <w:p w14:paraId="5C79285D" w14:textId="13ACFF0A" w:rsidR="00D81F47" w:rsidRPr="00777A20" w:rsidRDefault="00D81F47" w:rsidP="00777A20">
      <w:pPr>
        <w:pStyle w:val="Funotentext"/>
        <w:jc w:val="both"/>
        <w:rPr>
          <w:lang w:val="en-GB"/>
        </w:rPr>
      </w:pPr>
      <w:r>
        <w:rPr>
          <w:rStyle w:val="Funotenzeichen"/>
        </w:rPr>
        <w:footnoteRef/>
      </w:r>
      <w:r w:rsidRPr="00777A20">
        <w:rPr>
          <w:lang w:val="en-GB"/>
        </w:rPr>
        <w:t xml:space="preserve"> </w:t>
      </w:r>
      <w:r>
        <w:rPr>
          <w:lang w:val="en-GB"/>
        </w:rPr>
        <w:t xml:space="preserve">‘FD’ is a commonly used abbreviation of the words ‘Framework Decision’.  </w:t>
      </w:r>
    </w:p>
  </w:footnote>
  <w:footnote w:id="12">
    <w:p w14:paraId="0C508FB6" w14:textId="5BF792A5" w:rsidR="00D81F47" w:rsidRPr="00777A20" w:rsidRDefault="00D81F47" w:rsidP="00777A20">
      <w:pPr>
        <w:pStyle w:val="Funotentext"/>
        <w:jc w:val="both"/>
        <w:rPr>
          <w:lang w:val="en-GB"/>
        </w:rPr>
      </w:pPr>
      <w:r>
        <w:rPr>
          <w:rStyle w:val="Funotenzeichen"/>
        </w:rPr>
        <w:footnoteRef/>
      </w:r>
      <w:r w:rsidRPr="00777A20">
        <w:rPr>
          <w:lang w:val="en-GB"/>
        </w:rPr>
        <w:t xml:space="preserve"> </w:t>
      </w:r>
      <w:r w:rsidRPr="00DF528F">
        <w:rPr>
          <w:i/>
          <w:iCs/>
          <w:lang w:val="en-GB"/>
        </w:rPr>
        <w:t>OJ</w:t>
      </w:r>
      <w:r>
        <w:rPr>
          <w:lang w:val="en-GB"/>
        </w:rPr>
        <w:t xml:space="preserve"> 2002, L 190/1, as amended by </w:t>
      </w:r>
      <w:r w:rsidRPr="00DF528F">
        <w:rPr>
          <w:i/>
          <w:iCs/>
          <w:lang w:val="en-GB"/>
        </w:rPr>
        <w:t>OJ</w:t>
      </w:r>
      <w:r>
        <w:rPr>
          <w:lang w:val="en-GB"/>
        </w:rPr>
        <w:t xml:space="preserve"> 2009, L 81/24.</w:t>
      </w:r>
    </w:p>
  </w:footnote>
  <w:footnote w:id="13">
    <w:p w14:paraId="2F9A695D" w14:textId="3A805795" w:rsidR="00D81F47" w:rsidRPr="00777A20" w:rsidRDefault="00D81F47" w:rsidP="00777A20">
      <w:pPr>
        <w:pStyle w:val="Funotentext"/>
        <w:jc w:val="both"/>
        <w:rPr>
          <w:lang w:val="en-GB"/>
        </w:rPr>
      </w:pPr>
      <w:r>
        <w:rPr>
          <w:rStyle w:val="Funotenzeichen"/>
        </w:rPr>
        <w:footnoteRef/>
      </w:r>
      <w:r w:rsidRPr="00777A20">
        <w:rPr>
          <w:lang w:val="en-GB"/>
        </w:rPr>
        <w:t xml:space="preserve"> </w:t>
      </w:r>
      <w:r w:rsidRPr="009730F4">
        <w:rPr>
          <w:i/>
          <w:iCs/>
          <w:lang w:val="en-GB"/>
        </w:rPr>
        <w:t>OJ</w:t>
      </w:r>
      <w:r>
        <w:rPr>
          <w:lang w:val="en-GB"/>
        </w:rPr>
        <w:t xml:space="preserve"> 2008, L 327/27, as amended by </w:t>
      </w:r>
      <w:r w:rsidRPr="009730F4">
        <w:rPr>
          <w:i/>
          <w:iCs/>
          <w:lang w:val="en-GB"/>
        </w:rPr>
        <w:t>OJ</w:t>
      </w:r>
      <w:r w:rsidRPr="00E23089">
        <w:rPr>
          <w:lang w:val="en-GB"/>
        </w:rPr>
        <w:t xml:space="preserve"> </w:t>
      </w:r>
      <w:r>
        <w:rPr>
          <w:lang w:val="en-GB"/>
        </w:rPr>
        <w:t>2009, L 81/24.</w:t>
      </w:r>
    </w:p>
  </w:footnote>
  <w:footnote w:id="14">
    <w:p w14:paraId="2C85E350" w14:textId="0A18CE25" w:rsidR="00D81F47" w:rsidRPr="00777A20" w:rsidRDefault="00D81F47" w:rsidP="00777A20">
      <w:pPr>
        <w:pStyle w:val="Funotentext"/>
        <w:jc w:val="both"/>
        <w:rPr>
          <w:lang w:val="en-GB"/>
        </w:rPr>
      </w:pPr>
      <w:r>
        <w:rPr>
          <w:rStyle w:val="Funotenzeichen"/>
        </w:rPr>
        <w:footnoteRef/>
      </w:r>
      <w:r w:rsidRPr="00777A20">
        <w:rPr>
          <w:lang w:val="en-GB"/>
        </w:rPr>
        <w:t xml:space="preserve"> </w:t>
      </w:r>
      <w:r w:rsidRPr="009730F4">
        <w:rPr>
          <w:i/>
          <w:iCs/>
          <w:lang w:val="en-GB"/>
        </w:rPr>
        <w:t>OJ</w:t>
      </w:r>
      <w:r w:rsidRPr="00777A20">
        <w:rPr>
          <w:lang w:val="en-GB"/>
        </w:rPr>
        <w:t xml:space="preserve"> 2008</w:t>
      </w:r>
      <w:r>
        <w:rPr>
          <w:lang w:val="en-GB"/>
        </w:rPr>
        <w:t xml:space="preserve">, L 337/102, </w:t>
      </w:r>
      <w:r w:rsidRPr="00622046">
        <w:rPr>
          <w:lang w:val="en-GB"/>
        </w:rPr>
        <w:t xml:space="preserve">as amended by </w:t>
      </w:r>
      <w:r w:rsidRPr="009730F4">
        <w:rPr>
          <w:i/>
          <w:iCs/>
          <w:lang w:val="en-GB"/>
        </w:rPr>
        <w:t>OJ</w:t>
      </w:r>
      <w:r w:rsidRPr="00622046">
        <w:rPr>
          <w:lang w:val="en-GB"/>
        </w:rPr>
        <w:t xml:space="preserve"> 2009, L 81/24</w:t>
      </w:r>
      <w:r>
        <w:rPr>
          <w:lang w:val="en-GB"/>
        </w:rPr>
        <w:t>.</w:t>
      </w:r>
    </w:p>
  </w:footnote>
  <w:footnote w:id="15">
    <w:p w14:paraId="3B3B2AF0" w14:textId="16F5DD24" w:rsidR="00D81F47" w:rsidRPr="00777A20" w:rsidRDefault="00D81F47" w:rsidP="00777A20">
      <w:pPr>
        <w:pStyle w:val="Funotentext"/>
        <w:jc w:val="both"/>
        <w:rPr>
          <w:lang w:val="en-GB"/>
        </w:rPr>
      </w:pPr>
      <w:r>
        <w:rPr>
          <w:rStyle w:val="Funotenzeichen"/>
        </w:rPr>
        <w:footnoteRef/>
      </w:r>
      <w:r w:rsidRPr="00777A20">
        <w:rPr>
          <w:lang w:val="en-GB"/>
        </w:rPr>
        <w:t xml:space="preserve"> </w:t>
      </w:r>
      <w:r w:rsidRPr="009730F4">
        <w:rPr>
          <w:i/>
          <w:iCs/>
          <w:lang w:val="en-GB"/>
        </w:rPr>
        <w:t>OJ</w:t>
      </w:r>
      <w:r w:rsidRPr="00777A20">
        <w:rPr>
          <w:lang w:val="en-GB"/>
        </w:rPr>
        <w:t xml:space="preserve"> </w:t>
      </w:r>
      <w:r>
        <w:rPr>
          <w:lang w:val="en-GB"/>
        </w:rPr>
        <w:t>2009, L 294/20.</w:t>
      </w:r>
    </w:p>
  </w:footnote>
  <w:footnote w:id="16">
    <w:p w14:paraId="66D08159" w14:textId="0D30A501" w:rsidR="00D81F47" w:rsidRPr="00777A20" w:rsidRDefault="00D81F47" w:rsidP="00777A20">
      <w:pPr>
        <w:pStyle w:val="Funotentext"/>
        <w:jc w:val="both"/>
        <w:rPr>
          <w:lang w:val="en-GB"/>
        </w:rPr>
      </w:pPr>
      <w:r>
        <w:rPr>
          <w:rStyle w:val="Funotenzeichen"/>
        </w:rPr>
        <w:footnoteRef/>
      </w:r>
      <w:r w:rsidRPr="00777A20">
        <w:rPr>
          <w:lang w:val="en-GB"/>
        </w:rPr>
        <w:t xml:space="preserve"> </w:t>
      </w:r>
      <w:r w:rsidRPr="009730F4">
        <w:rPr>
          <w:i/>
          <w:iCs/>
          <w:lang w:val="en-GB"/>
        </w:rPr>
        <w:t>OJ</w:t>
      </w:r>
      <w:r>
        <w:rPr>
          <w:lang w:val="en-GB"/>
        </w:rPr>
        <w:t xml:space="preserve"> 2014, L 130/1.</w:t>
      </w:r>
    </w:p>
  </w:footnote>
  <w:footnote w:id="17">
    <w:p w14:paraId="54F76314" w14:textId="0666B6D7" w:rsidR="00D81F47" w:rsidRPr="00353C2A" w:rsidRDefault="00D81F47" w:rsidP="00777A20">
      <w:pPr>
        <w:pStyle w:val="Funotentext"/>
        <w:jc w:val="both"/>
        <w:rPr>
          <w:lang w:val="en-GB"/>
        </w:rPr>
      </w:pPr>
      <w:r w:rsidRPr="00353C2A">
        <w:rPr>
          <w:rStyle w:val="Funotenzeichen"/>
          <w:rFonts w:eastAsiaTheme="majorEastAsia"/>
        </w:rPr>
        <w:footnoteRef/>
      </w:r>
      <w:r w:rsidRPr="00353C2A">
        <w:rPr>
          <w:lang w:val="en-GB"/>
        </w:rPr>
        <w:t xml:space="preserve"> These </w:t>
      </w:r>
      <w:r>
        <w:rPr>
          <w:lang w:val="en-GB"/>
        </w:rPr>
        <w:t xml:space="preserve">first </w:t>
      </w:r>
      <w:r w:rsidRPr="00353C2A">
        <w:rPr>
          <w:lang w:val="en-GB"/>
        </w:rPr>
        <w:t xml:space="preserve">five instruments were mentioned in the call document: </w:t>
      </w:r>
      <w:hyperlink r:id="rId2" w:history="1">
        <w:r w:rsidRPr="009730F4">
          <w:rPr>
            <w:rStyle w:val="Hyperlink"/>
            <w:rFonts w:eastAsiaTheme="majorEastAsia"/>
            <w:lang w:val="en-GB"/>
          </w:rPr>
          <w:t>https://ec.europa.eu/info/funding-tenders/opportunities/docs/2021-2027/just/wp-call/2021-2022/call-fiche_just-2022-jcoo_en.pdf</w:t>
        </w:r>
      </w:hyperlink>
      <w:r>
        <w:rPr>
          <w:lang w:val="en-GB"/>
        </w:rPr>
        <w:t>.</w:t>
      </w:r>
    </w:p>
    <w:p w14:paraId="31A0CCCF" w14:textId="77777777" w:rsidR="00D81F47" w:rsidRPr="00353C2A" w:rsidRDefault="00D81F47" w:rsidP="00777A20">
      <w:pPr>
        <w:pStyle w:val="Funotentext"/>
        <w:jc w:val="both"/>
        <w:rPr>
          <w:lang w:val="en-GB"/>
        </w:rPr>
      </w:pPr>
      <w:r w:rsidRPr="00353C2A">
        <w:rPr>
          <w:lang w:val="en-GB"/>
        </w:rPr>
        <w:t xml:space="preserve">Regulation 2018/1805/EU is mentioned in the call document but not included in the proposal. That regulation only touches upon deprivation of liberty in an indirect way: once a freezing order or confiscation order is recognised by the executing MS, </w:t>
      </w:r>
      <w:r w:rsidRPr="00353C2A">
        <w:rPr>
          <w:i/>
          <w:iCs/>
          <w:lang w:val="en-GB"/>
        </w:rPr>
        <w:t>subsequent</w:t>
      </w:r>
      <w:r w:rsidRPr="00353C2A">
        <w:rPr>
          <w:lang w:val="en-GB"/>
        </w:rPr>
        <w:t xml:space="preserve"> decisions by the competent authorities of the executing MS may include the imposition of a custodial sentence. However, the focus of the project is on the decisions taken by the issuing MS. Moreover, a freezing order or confiscation order cannot serve as an alternative to forms of judicial cooperation involving deprivation of liberty.</w:t>
      </w:r>
    </w:p>
    <w:p w14:paraId="00DDF32D" w14:textId="77777777" w:rsidR="00D81F47" w:rsidRPr="00353C2A" w:rsidRDefault="00D81F47" w:rsidP="00777A20">
      <w:pPr>
        <w:pStyle w:val="Funotentext"/>
        <w:jc w:val="both"/>
        <w:rPr>
          <w:lang w:val="en-GB"/>
        </w:rPr>
      </w:pPr>
      <w:r w:rsidRPr="00353C2A">
        <w:rPr>
          <w:lang w:val="en-GB"/>
        </w:rPr>
        <w:t xml:space="preserve">Not mentioned in the call document and equally not included in the proposal for more or less the same reasons: Framework Decision 2005/214/JHA on the application of the principle of mutual recognition to financial penalties. </w:t>
      </w:r>
    </w:p>
    <w:p w14:paraId="5DC6ADE2" w14:textId="77777777" w:rsidR="00D81F47" w:rsidRPr="00353C2A" w:rsidRDefault="00D81F47" w:rsidP="00777A20">
      <w:pPr>
        <w:pStyle w:val="Funotentext"/>
        <w:jc w:val="both"/>
        <w:rPr>
          <w:lang w:val="en-GB"/>
        </w:rPr>
      </w:pPr>
      <w:r w:rsidRPr="00353C2A">
        <w:rPr>
          <w:lang w:val="en-GB"/>
        </w:rPr>
        <w:t xml:space="preserve">Regulation 2023/1543/EU on European Production Orders and European Preservation Orders for electronic evidence in criminal proceedings and for the execution of custodial sentences following criminal proceedings is not included in the research (this regulation will apply from 18 August 2026). The regulation is not directly related to measures concerning deprivation of liberty and a European Production Order /European Preservation Order cannot serve as an alternative to forms of judicial cooperation involving deprivation of liberty. </w:t>
      </w:r>
    </w:p>
  </w:footnote>
  <w:footnote w:id="18">
    <w:p w14:paraId="7F693653" w14:textId="1CDBE103" w:rsidR="00D81F47" w:rsidRPr="00777A20" w:rsidRDefault="00D81F47" w:rsidP="00777A20">
      <w:pPr>
        <w:pStyle w:val="Funotentext"/>
        <w:jc w:val="both"/>
        <w:rPr>
          <w:lang w:val="en-GB"/>
        </w:rPr>
      </w:pPr>
      <w:r>
        <w:rPr>
          <w:rStyle w:val="Funotenzeichen"/>
        </w:rPr>
        <w:footnoteRef/>
      </w:r>
      <w:r w:rsidRPr="00777A20">
        <w:rPr>
          <w:lang w:val="en-GB"/>
        </w:rPr>
        <w:t xml:space="preserve"> </w:t>
      </w:r>
      <w:r w:rsidRPr="009730F4">
        <w:rPr>
          <w:i/>
          <w:iCs/>
          <w:lang w:val="en-GB"/>
        </w:rPr>
        <w:t>OJ</w:t>
      </w:r>
      <w:r>
        <w:rPr>
          <w:lang w:val="en-GB"/>
        </w:rPr>
        <w:t xml:space="preserve"> 2000, C 197/3.</w:t>
      </w:r>
    </w:p>
  </w:footnote>
  <w:footnote w:id="19">
    <w:p w14:paraId="2A099B35" w14:textId="77777777" w:rsidR="00D81F47" w:rsidRPr="00353C2A" w:rsidRDefault="00D81F47" w:rsidP="00777A20">
      <w:pPr>
        <w:pStyle w:val="Funotentext"/>
        <w:jc w:val="both"/>
        <w:rPr>
          <w:lang w:val="en-GB"/>
        </w:rPr>
      </w:pPr>
      <w:r w:rsidRPr="00353C2A">
        <w:rPr>
          <w:rStyle w:val="Funotenzeichen"/>
          <w:rFonts w:eastAsiaTheme="majorEastAsia"/>
        </w:rPr>
        <w:footnoteRef/>
      </w:r>
      <w:r w:rsidRPr="00353C2A">
        <w:rPr>
          <w:lang w:val="en-GB"/>
        </w:rPr>
        <w:t xml:space="preserve"> Not included in the call document, but included in the </w:t>
      </w:r>
      <w:r w:rsidRPr="00353C2A">
        <w:rPr>
          <w:i/>
          <w:iCs/>
          <w:lang w:val="en-GB"/>
        </w:rPr>
        <w:t>Proposal (amended)</w:t>
      </w:r>
      <w:r w:rsidRPr="00353C2A">
        <w:rPr>
          <w:lang w:val="en-GB"/>
        </w:rPr>
        <w:t xml:space="preserve">. </w:t>
      </w:r>
    </w:p>
  </w:footnote>
  <w:footnote w:id="20">
    <w:p w14:paraId="13DB1C79" w14:textId="1250D3A4" w:rsidR="00D81F47" w:rsidRPr="00777A20" w:rsidRDefault="00D81F47" w:rsidP="00777A20">
      <w:pPr>
        <w:pStyle w:val="Funotentext"/>
        <w:jc w:val="both"/>
        <w:rPr>
          <w:lang w:val="en-GB"/>
        </w:rPr>
      </w:pPr>
      <w:r>
        <w:rPr>
          <w:rStyle w:val="Funotenzeichen"/>
        </w:rPr>
        <w:footnoteRef/>
      </w:r>
      <w:r w:rsidRPr="00777A20">
        <w:rPr>
          <w:lang w:val="en-GB"/>
        </w:rPr>
        <w:t xml:space="preserve"> </w:t>
      </w:r>
      <w:r>
        <w:rPr>
          <w:lang w:val="en-GB"/>
        </w:rPr>
        <w:t>Strasbourg 15 May 1972, ETS No. 73.</w:t>
      </w:r>
    </w:p>
  </w:footnote>
  <w:footnote w:id="21">
    <w:p w14:paraId="4D9418F8" w14:textId="77777777" w:rsidR="00D81F47" w:rsidRPr="00353C2A" w:rsidRDefault="00D81F47" w:rsidP="00777A20">
      <w:pPr>
        <w:pStyle w:val="Funotentext"/>
        <w:jc w:val="both"/>
        <w:rPr>
          <w:lang w:val="en-GB"/>
        </w:rPr>
      </w:pPr>
      <w:r w:rsidRPr="00353C2A">
        <w:rPr>
          <w:rStyle w:val="Funotenzeichen"/>
          <w:rFonts w:eastAsiaTheme="majorEastAsia"/>
        </w:rPr>
        <w:footnoteRef/>
      </w:r>
      <w:r w:rsidRPr="00353C2A">
        <w:rPr>
          <w:lang w:val="en-GB"/>
        </w:rPr>
        <w:t xml:space="preserve"> Not included in the call document, but included in the </w:t>
      </w:r>
      <w:r w:rsidRPr="00353C2A">
        <w:rPr>
          <w:i/>
          <w:iCs/>
          <w:lang w:val="en-GB"/>
        </w:rPr>
        <w:t>Proposal (amended)</w:t>
      </w:r>
      <w:r w:rsidRPr="00353C2A">
        <w:rPr>
          <w:lang w:val="en-GB"/>
        </w:rPr>
        <w:t>.</w:t>
      </w:r>
    </w:p>
  </w:footnote>
  <w:footnote w:id="22">
    <w:p w14:paraId="1C889B1F" w14:textId="20828ECE" w:rsidR="00D81F47" w:rsidRPr="00777A20" w:rsidRDefault="00D81F47" w:rsidP="00777A20">
      <w:pPr>
        <w:pStyle w:val="Funotentext"/>
        <w:jc w:val="both"/>
        <w:rPr>
          <w:lang w:val="en-GB"/>
        </w:rPr>
      </w:pPr>
      <w:r>
        <w:rPr>
          <w:rStyle w:val="Funotenzeichen"/>
        </w:rPr>
        <w:footnoteRef/>
      </w:r>
      <w:r w:rsidRPr="00777A20">
        <w:rPr>
          <w:lang w:val="en-GB"/>
        </w:rPr>
        <w:t xml:space="preserve"> </w:t>
      </w:r>
      <w:r>
        <w:rPr>
          <w:lang w:val="en-GB"/>
        </w:rPr>
        <w:t>Strasbourg 20 April 1959, ETS No. 30.</w:t>
      </w:r>
    </w:p>
  </w:footnote>
  <w:footnote w:id="23">
    <w:p w14:paraId="458EBE55" w14:textId="77777777" w:rsidR="00D81F47" w:rsidRPr="00353C2A" w:rsidRDefault="00D81F47" w:rsidP="00777A20">
      <w:pPr>
        <w:pStyle w:val="Funotentext"/>
        <w:jc w:val="both"/>
        <w:rPr>
          <w:lang w:val="en-GB"/>
        </w:rPr>
      </w:pPr>
      <w:r w:rsidRPr="00353C2A">
        <w:rPr>
          <w:rStyle w:val="Funotenzeichen"/>
          <w:rFonts w:eastAsiaTheme="majorEastAsia"/>
        </w:rPr>
        <w:footnoteRef/>
      </w:r>
      <w:r w:rsidRPr="00353C2A">
        <w:rPr>
          <w:lang w:val="en-GB"/>
        </w:rPr>
        <w:t xml:space="preserve"> Added during the first Research Team meeting. </w:t>
      </w:r>
    </w:p>
  </w:footnote>
  <w:footnote w:id="24">
    <w:p w14:paraId="7B834C7C" w14:textId="6EAB5167" w:rsidR="00D81F47" w:rsidRPr="00777A20" w:rsidRDefault="00D81F47" w:rsidP="00777A20">
      <w:pPr>
        <w:pStyle w:val="Funotentext"/>
        <w:jc w:val="both"/>
        <w:rPr>
          <w:lang w:val="en-GB"/>
        </w:rPr>
      </w:pPr>
      <w:r>
        <w:rPr>
          <w:rStyle w:val="Funotenzeichen"/>
        </w:rPr>
        <w:footnoteRef/>
      </w:r>
      <w:r w:rsidRPr="00777A20">
        <w:rPr>
          <w:lang w:val="en-GB"/>
        </w:rPr>
        <w:t xml:space="preserve"> </w:t>
      </w:r>
      <w:r>
        <w:rPr>
          <w:lang w:val="en-GB"/>
        </w:rPr>
        <w:t xml:space="preserve">With the exception of the </w:t>
      </w:r>
      <w:r w:rsidRPr="004054D0">
        <w:rPr>
          <w:lang w:val="en-GB"/>
        </w:rPr>
        <w:t>European Convention on the Transfer of Proceedings in Criminal Matters</w:t>
      </w:r>
      <w:r>
        <w:rPr>
          <w:lang w:val="en-GB"/>
        </w:rPr>
        <w:t xml:space="preserve">, the instruments/conventions listed are instruments/conventions that are binding on all MS participating in the project. </w:t>
      </w:r>
      <w:r w:rsidRPr="00777A20">
        <w:rPr>
          <w:lang w:val="en-GB"/>
        </w:rPr>
        <w:t>Bilateral agreements are not i</w:t>
      </w:r>
      <w:r>
        <w:rPr>
          <w:lang w:val="en-GB"/>
        </w:rPr>
        <w:t xml:space="preserve">ncluded. </w:t>
      </w:r>
      <w:r w:rsidRPr="00DD767B">
        <w:rPr>
          <w:lang w:val="en-GB"/>
        </w:rPr>
        <w:t>In</w:t>
      </w:r>
      <w:r w:rsidRPr="00777A20">
        <w:rPr>
          <w:lang w:val="en-GB"/>
        </w:rPr>
        <w:t>cluding such agreements would</w:t>
      </w:r>
      <w:r>
        <w:rPr>
          <w:lang w:val="en-GB"/>
        </w:rPr>
        <w:t xml:space="preserve"> hamper making a comparison between the four participating MS</w:t>
      </w:r>
      <w:r w:rsidRPr="00777A20">
        <w:rPr>
          <w:lang w:val="en-GB"/>
        </w:rPr>
        <w:t xml:space="preserve"> (</w:t>
      </w:r>
      <w:r>
        <w:rPr>
          <w:lang w:val="en-GB"/>
        </w:rPr>
        <w:t>‘c</w:t>
      </w:r>
      <w:r w:rsidRPr="00777A20">
        <w:rPr>
          <w:lang w:val="en-GB"/>
        </w:rPr>
        <w:t>omparing apples with oranges</w:t>
      </w:r>
      <w:r>
        <w:rPr>
          <w:lang w:val="en-GB"/>
        </w:rPr>
        <w:t>’</w:t>
      </w:r>
      <w:r w:rsidRPr="00777A20">
        <w:rPr>
          <w:lang w:val="en-GB"/>
        </w:rPr>
        <w:t xml:space="preserve">). </w:t>
      </w:r>
      <w:r>
        <w:rPr>
          <w:lang w:val="en-GB"/>
        </w:rPr>
        <w:t xml:space="preserve">However, if in the opinion of a NAR a bilateral agreement facilitates ‘effective and coherent’ application of the instruments and, therefore, constitutes a ‘best practice’, he or she is encouraged to mention this as such. </w:t>
      </w:r>
    </w:p>
  </w:footnote>
  <w:footnote w:id="25">
    <w:p w14:paraId="10288D5C" w14:textId="77777777" w:rsidR="00D81F47" w:rsidRPr="00353C2A" w:rsidRDefault="00D81F47" w:rsidP="00777A20">
      <w:pPr>
        <w:pStyle w:val="Funotentext"/>
        <w:jc w:val="both"/>
        <w:rPr>
          <w:lang w:val="en-GB"/>
        </w:rPr>
      </w:pPr>
      <w:r w:rsidRPr="00353C2A">
        <w:rPr>
          <w:rStyle w:val="Funotenzeichen"/>
          <w:rFonts w:eastAsiaTheme="majorEastAsia"/>
        </w:rPr>
        <w:footnoteRef/>
      </w:r>
      <w:r w:rsidRPr="00353C2A">
        <w:rPr>
          <w:lang w:val="de-DE"/>
        </w:rPr>
        <w:t xml:space="preserve"> Case 584/19, </w:t>
      </w:r>
      <w:r w:rsidRPr="00353C2A">
        <w:rPr>
          <w:i/>
          <w:iCs/>
          <w:lang w:val="de-DE"/>
        </w:rPr>
        <w:t>Staatsanwaltschaft Wien (Falsified transfer orders)</w:t>
      </w:r>
      <w:r w:rsidRPr="00353C2A">
        <w:rPr>
          <w:lang w:val="de-DE"/>
        </w:rPr>
        <w:t xml:space="preserve">, ECLI:EU:C:2020:1002, para. </w:t>
      </w:r>
      <w:r w:rsidRPr="00353C2A">
        <w:rPr>
          <w:lang w:val="en-GB"/>
        </w:rPr>
        <w:t xml:space="preserve">73. </w:t>
      </w:r>
    </w:p>
  </w:footnote>
  <w:footnote w:id="26">
    <w:p w14:paraId="7EC3CB06" w14:textId="77777777" w:rsidR="00D81F47" w:rsidRPr="00353C2A" w:rsidRDefault="00D81F47" w:rsidP="00777A20">
      <w:pPr>
        <w:pStyle w:val="Funotentext"/>
        <w:jc w:val="both"/>
        <w:rPr>
          <w:lang w:val="en-GB"/>
        </w:rPr>
      </w:pPr>
      <w:r w:rsidRPr="00353C2A">
        <w:rPr>
          <w:rStyle w:val="Funotenzeichen"/>
          <w:rFonts w:eastAsiaTheme="majorEastAsia"/>
        </w:rPr>
        <w:footnoteRef/>
      </w:r>
      <w:r w:rsidRPr="00353C2A">
        <w:rPr>
          <w:lang w:val="en-GB"/>
        </w:rPr>
        <w:t xml:space="preserve"> We will use the words ‘issuing Member State’ in a broad sense: the Member State that requests judicial cooperation or initiates judicial cooperation based on mutual recognition.</w:t>
      </w:r>
    </w:p>
  </w:footnote>
  <w:footnote w:id="27">
    <w:p w14:paraId="3850A5C2" w14:textId="77777777" w:rsidR="00D81F47" w:rsidRPr="00353C2A" w:rsidRDefault="00D81F47" w:rsidP="00777A20">
      <w:pPr>
        <w:pStyle w:val="Funotentext"/>
        <w:jc w:val="both"/>
        <w:rPr>
          <w:lang w:val="en-GB"/>
        </w:rPr>
      </w:pPr>
      <w:r w:rsidRPr="00353C2A">
        <w:rPr>
          <w:rStyle w:val="Funotenzeichen"/>
          <w:rFonts w:eastAsiaTheme="majorEastAsia"/>
        </w:rPr>
        <w:footnoteRef/>
      </w:r>
      <w:r w:rsidRPr="00353C2A">
        <w:rPr>
          <w:lang w:val="en-GB"/>
        </w:rPr>
        <w:t xml:space="preserve"> Art. 22(1). </w:t>
      </w:r>
    </w:p>
  </w:footnote>
  <w:footnote w:id="28">
    <w:p w14:paraId="08F3D1A1" w14:textId="77777777" w:rsidR="00D81F47" w:rsidRPr="00353C2A" w:rsidRDefault="00D81F47" w:rsidP="00777A20">
      <w:pPr>
        <w:pStyle w:val="Funotentext"/>
        <w:jc w:val="both"/>
        <w:rPr>
          <w:lang w:val="en-GB"/>
        </w:rPr>
      </w:pPr>
      <w:r w:rsidRPr="00353C2A">
        <w:rPr>
          <w:rStyle w:val="Funotenzeichen"/>
          <w:rFonts w:eastAsiaTheme="majorEastAsia"/>
        </w:rPr>
        <w:footnoteRef/>
      </w:r>
      <w:r w:rsidRPr="00353C2A">
        <w:rPr>
          <w:lang w:val="en-GB"/>
        </w:rPr>
        <w:t xml:space="preserve"> Art. 24(1).</w:t>
      </w:r>
    </w:p>
  </w:footnote>
  <w:footnote w:id="29">
    <w:p w14:paraId="0CBDD247" w14:textId="15DE1F69" w:rsidR="00D81F47" w:rsidRPr="00353C2A" w:rsidRDefault="00D81F47" w:rsidP="00777A20">
      <w:pPr>
        <w:pStyle w:val="Funotentext"/>
        <w:jc w:val="both"/>
        <w:rPr>
          <w:lang w:val="en-GB"/>
        </w:rPr>
      </w:pPr>
      <w:r w:rsidRPr="00353C2A">
        <w:rPr>
          <w:rStyle w:val="Funotenzeichen"/>
          <w:rFonts w:eastAsiaTheme="majorEastAsia"/>
        </w:rPr>
        <w:footnoteRef/>
      </w:r>
      <w:r w:rsidRPr="00353C2A">
        <w:rPr>
          <w:lang w:val="en-GB"/>
        </w:rPr>
        <w:t xml:space="preserve"> The EU Convention on Mutual Assistance in Criminal Matters includes provisions on the temporary transfer of a person already held in custody for the purpose of investigative measures (Art. 9) and on hearing by videoconference (Art. 10), but these provisions are replaced by the corresponding provision</w:t>
      </w:r>
      <w:r>
        <w:rPr>
          <w:lang w:val="en-GB"/>
        </w:rPr>
        <w:t>s</w:t>
      </w:r>
      <w:r w:rsidRPr="00353C2A">
        <w:rPr>
          <w:lang w:val="en-GB"/>
        </w:rPr>
        <w:t xml:space="preserve"> in Directive 2014/41/EU (Art. 34(1).  </w:t>
      </w:r>
    </w:p>
  </w:footnote>
  <w:footnote w:id="30">
    <w:p w14:paraId="69389787" w14:textId="77777777" w:rsidR="00D81F47" w:rsidRPr="00353C2A" w:rsidRDefault="00D81F47" w:rsidP="00777A20">
      <w:pPr>
        <w:pStyle w:val="Funotentext"/>
        <w:jc w:val="both"/>
        <w:rPr>
          <w:lang w:val="en-GB"/>
        </w:rPr>
      </w:pPr>
      <w:r w:rsidRPr="00353C2A">
        <w:rPr>
          <w:rStyle w:val="Funotenzeichen"/>
          <w:rFonts w:eastAsiaTheme="majorEastAsia"/>
        </w:rPr>
        <w:footnoteRef/>
      </w:r>
      <w:r w:rsidRPr="00353C2A">
        <w:rPr>
          <w:lang w:val="en-GB"/>
        </w:rPr>
        <w:t xml:space="preserve"> Art. 5.</w:t>
      </w:r>
    </w:p>
  </w:footnote>
  <w:footnote w:id="31">
    <w:p w14:paraId="3B19F68D" w14:textId="77777777" w:rsidR="00D81F47" w:rsidRPr="00353C2A" w:rsidRDefault="00D81F47" w:rsidP="00777A20">
      <w:pPr>
        <w:pStyle w:val="Funotentext"/>
        <w:jc w:val="both"/>
        <w:rPr>
          <w:lang w:val="en-GB"/>
        </w:rPr>
      </w:pPr>
      <w:r w:rsidRPr="00353C2A">
        <w:rPr>
          <w:rStyle w:val="Funotenzeichen"/>
          <w:rFonts w:eastAsiaTheme="majorEastAsia"/>
        </w:rPr>
        <w:footnoteRef/>
      </w:r>
      <w:r w:rsidRPr="00353C2A">
        <w:rPr>
          <w:lang w:val="en-GB"/>
        </w:rPr>
        <w:t xml:space="preserve"> In certain circumstances, the CoE European Convention on the Transfer of Proceedings in Criminal Matters also applies when the person concerned has already been finally convicted. See </w:t>
      </w:r>
      <w:r w:rsidRPr="00353C2A">
        <w:rPr>
          <w:i/>
          <w:iCs/>
          <w:lang w:val="en-GB"/>
        </w:rPr>
        <w:t>MR2.0: some preliminary explorations</w:t>
      </w:r>
      <w:r w:rsidRPr="00353C2A">
        <w:rPr>
          <w:lang w:val="en-GB"/>
        </w:rPr>
        <w:t>.</w:t>
      </w:r>
    </w:p>
  </w:footnote>
  <w:footnote w:id="32">
    <w:p w14:paraId="6E145743" w14:textId="77777777" w:rsidR="00D81F47" w:rsidRPr="00353C2A" w:rsidRDefault="00D81F47" w:rsidP="00777A20">
      <w:pPr>
        <w:pStyle w:val="Funotentext"/>
        <w:jc w:val="both"/>
        <w:rPr>
          <w:lang w:val="en-GB"/>
        </w:rPr>
      </w:pPr>
      <w:r w:rsidRPr="00353C2A">
        <w:rPr>
          <w:rStyle w:val="Funotenzeichen"/>
          <w:rFonts w:eastAsiaTheme="majorEastAsia"/>
        </w:rPr>
        <w:footnoteRef/>
      </w:r>
      <w:r w:rsidRPr="00353C2A">
        <w:rPr>
          <w:lang w:val="en-GB"/>
        </w:rPr>
        <w:t xml:space="preserve"> Art. 21(1) of the</w:t>
      </w:r>
      <w:r w:rsidRPr="00353C2A">
        <w:rPr>
          <w:color w:val="FF0000"/>
          <w:lang w:val="en-GB"/>
        </w:rPr>
        <w:t xml:space="preserve"> </w:t>
      </w:r>
      <w:r w:rsidRPr="00353C2A">
        <w:rPr>
          <w:lang w:val="en-GB"/>
        </w:rPr>
        <w:t>European Convention on Mutual Assistance in Criminal Matters : the ‘laying of information’ by one MS ‘with a view to proceedings in the courts of another’ MS.</w:t>
      </w:r>
    </w:p>
  </w:footnote>
  <w:footnote w:id="33">
    <w:p w14:paraId="1D648F97" w14:textId="77777777" w:rsidR="00D81F47" w:rsidRPr="00353C2A" w:rsidRDefault="00D81F47" w:rsidP="00777A20">
      <w:pPr>
        <w:pStyle w:val="Funotentext"/>
        <w:jc w:val="both"/>
        <w:rPr>
          <w:lang w:val="en-GB"/>
        </w:rPr>
      </w:pPr>
      <w:r w:rsidRPr="00353C2A">
        <w:rPr>
          <w:rStyle w:val="Funotenzeichen"/>
          <w:rFonts w:eastAsiaTheme="majorEastAsia"/>
        </w:rPr>
        <w:footnoteRef/>
      </w:r>
      <w:r w:rsidRPr="00353C2A">
        <w:rPr>
          <w:lang w:val="en-GB"/>
        </w:rPr>
        <w:t xml:space="preserve"> Germany and Poland are not bound by this convention. </w:t>
      </w:r>
    </w:p>
  </w:footnote>
  <w:footnote w:id="34">
    <w:p w14:paraId="5821DD36" w14:textId="1E6A91E5" w:rsidR="00D81F47" w:rsidRPr="00777A20" w:rsidRDefault="00D81F47" w:rsidP="00777A20">
      <w:pPr>
        <w:pStyle w:val="Funotentext"/>
        <w:jc w:val="both"/>
        <w:rPr>
          <w:lang w:val="en-GB"/>
        </w:rPr>
      </w:pPr>
      <w:r>
        <w:rPr>
          <w:rStyle w:val="Funotenzeichen"/>
        </w:rPr>
        <w:footnoteRef/>
      </w:r>
      <w:r w:rsidRPr="00777A20">
        <w:rPr>
          <w:lang w:val="en-GB"/>
        </w:rPr>
        <w:t xml:space="preserve"> </w:t>
      </w:r>
      <w:r>
        <w:rPr>
          <w:lang w:val="en-GB"/>
        </w:rPr>
        <w:t xml:space="preserve">See Art. 34(1): ‘(…) </w:t>
      </w:r>
      <w:r w:rsidRPr="00777A20">
        <w:rPr>
          <w:lang w:val="en-GB"/>
        </w:rPr>
        <w:t xml:space="preserve">this Directive replaces, as from 22 May 2017, the </w:t>
      </w:r>
      <w:r w:rsidRPr="00777A20">
        <w:rPr>
          <w:u w:val="single"/>
          <w:lang w:val="en-GB"/>
        </w:rPr>
        <w:t>corresponding</w:t>
      </w:r>
      <w:r w:rsidRPr="00777A20">
        <w:rPr>
          <w:lang w:val="en-GB"/>
        </w:rPr>
        <w:t xml:space="preserve"> provisions of the following conventions</w:t>
      </w:r>
      <w:r>
        <w:rPr>
          <w:lang w:val="en-GB"/>
        </w:rPr>
        <w:t xml:space="preserve"> (…)’. The directive does not contain any provisions on </w:t>
      </w:r>
      <w:r w:rsidRPr="00D31C9E">
        <w:rPr>
          <w:lang w:val="en-GB"/>
        </w:rPr>
        <w:t>sending to and serving documents on a suspect, accused person or convicted person who resides abroad</w:t>
      </w:r>
      <w:r>
        <w:rPr>
          <w:lang w:val="en-GB"/>
        </w:rPr>
        <w:t xml:space="preserve">, nor on </w:t>
      </w:r>
      <w:r w:rsidRPr="00106115">
        <w:rPr>
          <w:lang w:val="en-GB"/>
        </w:rPr>
        <w:t>the ‘laying of information’ by one MS ‘with a view to proceedings in the courts of another’ MS</w:t>
      </w:r>
      <w:r>
        <w:rPr>
          <w:lang w:val="en-GB"/>
        </w:rPr>
        <w:t xml:space="preserve">. That is so, because the directive is only concerned with obtaining evidence. </w:t>
      </w:r>
    </w:p>
  </w:footnote>
  <w:footnote w:id="35">
    <w:p w14:paraId="0B674AB0" w14:textId="3A22599B" w:rsidR="00D81F47" w:rsidRPr="00777A20" w:rsidRDefault="00D81F47" w:rsidP="00777A20">
      <w:pPr>
        <w:pStyle w:val="Funotentext"/>
        <w:jc w:val="both"/>
        <w:rPr>
          <w:lang w:val="en-GB"/>
        </w:rPr>
      </w:pPr>
      <w:r>
        <w:rPr>
          <w:rStyle w:val="Funotenzeichen"/>
        </w:rPr>
        <w:footnoteRef/>
      </w:r>
      <w:r w:rsidRPr="00777A20">
        <w:rPr>
          <w:lang w:val="en-GB"/>
        </w:rPr>
        <w:t xml:space="preserve"> </w:t>
      </w:r>
      <w:r>
        <w:rPr>
          <w:lang w:val="en-GB"/>
        </w:rPr>
        <w:t xml:space="preserve">FD </w:t>
      </w:r>
      <w:r w:rsidRPr="00777A20">
        <w:rPr>
          <w:lang w:val="en-GB"/>
        </w:rPr>
        <w:t>2009/948/JHA of 30 November 2009 on prevention and settlement of conflicts of exercise of jurisdiction in criminal proceedings</w:t>
      </w:r>
      <w:r>
        <w:rPr>
          <w:lang w:val="en-GB"/>
        </w:rPr>
        <w:t xml:space="preserve">, </w:t>
      </w:r>
      <w:r w:rsidRPr="009730F4">
        <w:rPr>
          <w:i/>
          <w:iCs/>
          <w:lang w:val="en-GB"/>
        </w:rPr>
        <w:t>OJ</w:t>
      </w:r>
      <w:r w:rsidRPr="00215262">
        <w:rPr>
          <w:lang w:val="en-GB"/>
        </w:rPr>
        <w:t xml:space="preserve"> </w:t>
      </w:r>
      <w:r>
        <w:rPr>
          <w:lang w:val="en-GB"/>
        </w:rPr>
        <w:t>2009, L328/42 is not listed here. Although there are strong links with the conventions on transfer of proceedings in criminal matters (see 1.2 below), this framework decision does not regulate any form of judicial cooperation. Moreover, this framework decision only applies to parallel proceedings in more than one MS against the same person for the same acts.</w:t>
      </w:r>
    </w:p>
  </w:footnote>
  <w:footnote w:id="36">
    <w:p w14:paraId="135672B8" w14:textId="123EFC4B" w:rsidR="00D81F47" w:rsidRPr="00777A20" w:rsidRDefault="00D81F47" w:rsidP="00777A20">
      <w:pPr>
        <w:pStyle w:val="Funotentext"/>
        <w:jc w:val="both"/>
        <w:rPr>
          <w:lang w:val="en-GB"/>
        </w:rPr>
      </w:pPr>
      <w:r>
        <w:rPr>
          <w:rStyle w:val="Funotenzeichen"/>
        </w:rPr>
        <w:footnoteRef/>
      </w:r>
      <w:r w:rsidRPr="00777A20">
        <w:rPr>
          <w:lang w:val="en-GB"/>
        </w:rPr>
        <w:t xml:space="preserve"> Incorrect transposition i</w:t>
      </w:r>
      <w:r>
        <w:rPr>
          <w:lang w:val="en-GB"/>
        </w:rPr>
        <w:t xml:space="preserve">nto national law </w:t>
      </w:r>
      <w:r w:rsidRPr="00777A20">
        <w:rPr>
          <w:i/>
          <w:iCs/>
          <w:lang w:val="en-GB"/>
        </w:rPr>
        <w:t>per se</w:t>
      </w:r>
      <w:r>
        <w:rPr>
          <w:lang w:val="en-GB"/>
        </w:rPr>
        <w:t xml:space="preserve"> </w:t>
      </w:r>
      <w:r w:rsidRPr="00777A20">
        <w:rPr>
          <w:lang w:val="en-GB"/>
        </w:rPr>
        <w:t>is out of scope.</w:t>
      </w:r>
      <w:r>
        <w:rPr>
          <w:i/>
          <w:iCs/>
          <w:lang w:val="en-GB"/>
        </w:rPr>
        <w:t xml:space="preserve"> </w:t>
      </w:r>
      <w:r>
        <w:rPr>
          <w:lang w:val="en-GB"/>
        </w:rPr>
        <w:t xml:space="preserve">Incorrect transposition is only relevant if it has an impact on the “effective and coherent” application of the instruments. If, e.g., the NAR is of the opinion that transposition of the optional grounds for refusal of Directive 2014/41/EU as mandatory grounds for refusal is in contravention of that directive </w:t>
      </w:r>
      <w:r w:rsidRPr="00777A20">
        <w:rPr>
          <w:i/>
          <w:iCs/>
          <w:lang w:val="en-GB"/>
        </w:rPr>
        <w:t>and has a negative impact on the “effective and coherent application” of instruments</w:t>
      </w:r>
      <w:r>
        <w:rPr>
          <w:lang w:val="en-GB"/>
        </w:rPr>
        <w:t>, this is relevant and worthy of mention.</w:t>
      </w:r>
    </w:p>
  </w:footnote>
  <w:footnote w:id="37">
    <w:p w14:paraId="35E55D36" w14:textId="490BB5AF" w:rsidR="00D81F47" w:rsidRPr="00C55ED2" w:rsidRDefault="00D81F47" w:rsidP="00777A20">
      <w:pPr>
        <w:pStyle w:val="Funotentext"/>
        <w:jc w:val="both"/>
        <w:rPr>
          <w:lang w:val="en-US"/>
        </w:rPr>
      </w:pPr>
      <w:r w:rsidRPr="00353C2A">
        <w:rPr>
          <w:rStyle w:val="Funotenzeichen"/>
          <w:rFonts w:eastAsiaTheme="majorEastAsia"/>
        </w:rPr>
        <w:footnoteRef/>
      </w:r>
      <w:r w:rsidRPr="00C55ED2">
        <w:rPr>
          <w:lang w:val="en-US"/>
        </w:rPr>
        <w:t xml:space="preserve"> </w:t>
      </w:r>
      <w:bookmarkStart w:id="15" w:name="_Hlk185421215"/>
      <w:r>
        <w:rPr>
          <w:lang w:val="en-US"/>
        </w:rPr>
        <w:t>Regulation (EU) 2024/3011 of the European Parliament and of the Council of 27 November 2024 on the transfer of proceedings in criminal matters</w:t>
      </w:r>
      <w:bookmarkEnd w:id="15"/>
      <w:r w:rsidRPr="00E40716">
        <w:rPr>
          <w:i/>
          <w:lang w:val="en-US"/>
        </w:rPr>
        <w:t>, O</w:t>
      </w:r>
      <w:r>
        <w:rPr>
          <w:i/>
          <w:lang w:val="en-US"/>
        </w:rPr>
        <w:t xml:space="preserve">J </w:t>
      </w:r>
      <w:r>
        <w:rPr>
          <w:lang w:val="en-US"/>
        </w:rPr>
        <w:t xml:space="preserve"> L 2024/3011.</w:t>
      </w:r>
    </w:p>
  </w:footnote>
  <w:footnote w:id="38">
    <w:p w14:paraId="43C77965" w14:textId="7E2D9529" w:rsidR="00D81F47" w:rsidRPr="00617E8E" w:rsidRDefault="00D81F47" w:rsidP="00617E8E">
      <w:pPr>
        <w:pStyle w:val="Funotentext"/>
      </w:pPr>
      <w:r>
        <w:rPr>
          <w:rStyle w:val="Funotenzeichen"/>
        </w:rPr>
        <w:footnoteRef/>
      </w:r>
      <w:r>
        <w:t xml:space="preserve"> </w:t>
      </w:r>
      <w:r w:rsidRPr="00617E8E">
        <w:rPr>
          <w:lang w:val="en-US"/>
        </w:rPr>
        <w:t xml:space="preserve">In the version of the announcement </w:t>
      </w:r>
      <w:r>
        <w:rPr>
          <w:lang w:val="en-US"/>
        </w:rPr>
        <w:t>of</w:t>
      </w:r>
      <w:r w:rsidRPr="00617E8E">
        <w:rPr>
          <w:lang w:val="en-US"/>
        </w:rPr>
        <w:t xml:space="preserve"> </w:t>
      </w:r>
      <w:r>
        <w:rPr>
          <w:lang w:val="en-US"/>
        </w:rPr>
        <w:t xml:space="preserve">27 </w:t>
      </w:r>
      <w:r w:rsidRPr="00617E8E">
        <w:rPr>
          <w:lang w:val="en-US"/>
        </w:rPr>
        <w:t>June 199</w:t>
      </w:r>
      <w:r>
        <w:rPr>
          <w:lang w:val="en-US"/>
        </w:rPr>
        <w:t>4,</w:t>
      </w:r>
      <w:r w:rsidRPr="00617E8E">
        <w:rPr>
          <w:lang w:val="en-US"/>
        </w:rPr>
        <w:t xml:space="preserve"> </w:t>
      </w:r>
      <w:r w:rsidRPr="00617E8E">
        <w:t>BGBl. I S. 1537</w:t>
      </w:r>
      <w:r w:rsidRPr="006F0A4C">
        <w:t xml:space="preserve">, last </w:t>
      </w:r>
      <w:r w:rsidRPr="00742B6A">
        <w:t xml:space="preserve">updated </w:t>
      </w:r>
      <w:r>
        <w:t>on 12 July</w:t>
      </w:r>
      <w:r w:rsidRPr="00186B6C">
        <w:t xml:space="preserve"> </w:t>
      </w:r>
      <w:r w:rsidRPr="00617E8E">
        <w:t>2024</w:t>
      </w:r>
      <w:r>
        <w:t>,</w:t>
      </w:r>
      <w:r w:rsidRPr="00617E8E">
        <w:t xml:space="preserve"> BGBl.</w:t>
      </w:r>
      <w:r>
        <w:t xml:space="preserve"> I No. 234; for the English translation see </w:t>
      </w:r>
      <w:hyperlink r:id="rId3" w:history="1">
        <w:r w:rsidRPr="00525CB2">
          <w:rPr>
            <w:rStyle w:val="Hyperlink"/>
          </w:rPr>
          <w:t>https://www.gesetze-im-internet.de/englisch_irg/</w:t>
        </w:r>
      </w:hyperlink>
      <w:r>
        <w:t xml:space="preserve">. </w:t>
      </w:r>
    </w:p>
  </w:footnote>
  <w:footnote w:id="39">
    <w:p w14:paraId="27197457" w14:textId="647D68D5" w:rsidR="00D81F47" w:rsidRPr="001744F7" w:rsidRDefault="00D81F47">
      <w:pPr>
        <w:pStyle w:val="Funotentext"/>
      </w:pPr>
      <w:r>
        <w:rPr>
          <w:rStyle w:val="Funotenzeichen"/>
        </w:rPr>
        <w:footnoteRef/>
      </w:r>
      <w:r>
        <w:t xml:space="preserve"> See the draft bill with explanatory memorandum </w:t>
      </w:r>
      <w:hyperlink r:id="rId4" w:history="1">
        <w:r w:rsidRPr="00630751">
          <w:rPr>
            <w:rStyle w:val="Hyperlink"/>
          </w:rPr>
          <w:t>https://www.bmj.de/SharedDocs/Gesetzgebungsverfahren/DE/2024_IRG_Reform.html</w:t>
        </w:r>
      </w:hyperlink>
      <w:r>
        <w:t xml:space="preserve"> (last accessed on 4 December 2024)</w:t>
      </w:r>
      <w:r w:rsidDel="001E05E2">
        <w:t>.</w:t>
      </w:r>
    </w:p>
  </w:footnote>
  <w:footnote w:id="40">
    <w:p w14:paraId="288EF145" w14:textId="7DE219AE" w:rsidR="00D81F47" w:rsidRPr="00AD2A9D" w:rsidRDefault="00D81F47" w:rsidP="006806BA">
      <w:pPr>
        <w:pStyle w:val="Funotentext"/>
        <w:rPr>
          <w:lang w:val="de-DE"/>
        </w:rPr>
      </w:pPr>
      <w:r>
        <w:rPr>
          <w:rStyle w:val="Funotenzeichen"/>
        </w:rPr>
        <w:footnoteRef/>
      </w:r>
      <w:r w:rsidRPr="00AD2A9D">
        <w:rPr>
          <w:lang w:val="de-DE"/>
        </w:rPr>
        <w:t xml:space="preserve"> Gesetz zur Umsetzung des Rahmenbeschlusses über den Europäischen Haftbefehl und die Übergabeverfahren zwischen den Mitgliedstaaten der Europäischen Union (Europäisches Haftbefehlsgesetz – EuHbG) of 21 July 2004, Bundesgesetzblatt I</w:t>
      </w:r>
      <w:r>
        <w:rPr>
          <w:lang w:val="de-DE"/>
        </w:rPr>
        <w:t xml:space="preserve">, </w:t>
      </w:r>
      <w:r w:rsidRPr="00AD2A9D">
        <w:rPr>
          <w:lang w:val="de-DE"/>
        </w:rPr>
        <w:t>p. 1748.</w:t>
      </w:r>
    </w:p>
  </w:footnote>
  <w:footnote w:id="41">
    <w:p w14:paraId="07C5000F" w14:textId="18AE24CF" w:rsidR="00D81F47" w:rsidRPr="00AD2A9D" w:rsidRDefault="00D81F47">
      <w:pPr>
        <w:pStyle w:val="Funotentext"/>
        <w:rPr>
          <w:lang w:val="de-DE"/>
        </w:rPr>
      </w:pPr>
      <w:r>
        <w:rPr>
          <w:rStyle w:val="Funotenzeichen"/>
        </w:rPr>
        <w:footnoteRef/>
      </w:r>
      <w:r w:rsidRPr="00AD2A9D">
        <w:rPr>
          <w:lang w:val="de-DE"/>
        </w:rPr>
        <w:t xml:space="preserve"> German Constitutional Court (</w:t>
      </w:r>
      <w:r w:rsidRPr="0083343D">
        <w:rPr>
          <w:lang w:val="de-DE"/>
        </w:rPr>
        <w:t>Bundesverfassungsgericht</w:t>
      </w:r>
      <w:r w:rsidRPr="00AD2A9D">
        <w:rPr>
          <w:lang w:val="de-DE"/>
        </w:rPr>
        <w:t>)</w:t>
      </w:r>
      <w:r>
        <w:rPr>
          <w:lang w:val="de-DE"/>
        </w:rPr>
        <w:t>,</w:t>
      </w:r>
      <w:r w:rsidRPr="00AD2A9D">
        <w:rPr>
          <w:lang w:val="de-DE"/>
        </w:rPr>
        <w:t xml:space="preserve"> Judgment of 18 July 2005 – 2 BvR 2236/04,</w:t>
      </w:r>
      <w:r w:rsidRPr="00CB796C">
        <w:rPr>
          <w:lang w:val="de-DE"/>
        </w:rPr>
        <w:t xml:space="preserve"> ECLI:DE:BVerfG:2005:rs20050718.2bvr223604,</w:t>
      </w:r>
      <w:r w:rsidRPr="00AD2A9D">
        <w:rPr>
          <w:lang w:val="de-DE"/>
        </w:rPr>
        <w:t xml:space="preserve"> official court reports (BVerfGE) 113, 273; Bundesgesetzblatt 2005 I</w:t>
      </w:r>
      <w:r>
        <w:rPr>
          <w:lang w:val="de-DE"/>
        </w:rPr>
        <w:t>,</w:t>
      </w:r>
      <w:r w:rsidRPr="00AD2A9D">
        <w:rPr>
          <w:lang w:val="de-DE"/>
        </w:rPr>
        <w:t xml:space="preserve"> p. 2300.</w:t>
      </w:r>
    </w:p>
  </w:footnote>
  <w:footnote w:id="42">
    <w:p w14:paraId="0F3492F3" w14:textId="21CD6CD9" w:rsidR="00D81F47" w:rsidRPr="00AD2A9D" w:rsidRDefault="00D81F47">
      <w:pPr>
        <w:pStyle w:val="Funotentext"/>
        <w:rPr>
          <w:lang w:val="de-DE"/>
        </w:rPr>
      </w:pPr>
      <w:r>
        <w:rPr>
          <w:rStyle w:val="Funotenzeichen"/>
        </w:rPr>
        <w:footnoteRef/>
      </w:r>
      <w:r w:rsidRPr="00AD2A9D">
        <w:rPr>
          <w:lang w:val="de-DE"/>
        </w:rPr>
        <w:t xml:space="preserve"> Gesetz zur Umsetzung des Rahmenbeschlusses über den Europäischen Haftbefehl und die Übergabeverfahren zwischen den Mitgliedstaaten der Europäischen Union (Europäisches Haftbefehlsgesetz - EuHbG) of 20 July 2006, Bundesgesetzblatt I</w:t>
      </w:r>
      <w:r>
        <w:rPr>
          <w:lang w:val="de-DE"/>
        </w:rPr>
        <w:t>,</w:t>
      </w:r>
      <w:r w:rsidRPr="00AD2A9D">
        <w:rPr>
          <w:lang w:val="de-DE"/>
        </w:rPr>
        <w:t xml:space="preserve"> p. 1721.</w:t>
      </w:r>
    </w:p>
  </w:footnote>
  <w:footnote w:id="43">
    <w:p w14:paraId="4DFD9740" w14:textId="2F54B9AB" w:rsidR="00D81F47" w:rsidRPr="00AD2A9D" w:rsidRDefault="00D81F47">
      <w:pPr>
        <w:pStyle w:val="Funotentext"/>
        <w:rPr>
          <w:lang w:val="en-US"/>
        </w:rPr>
      </w:pPr>
      <w:r>
        <w:rPr>
          <w:rStyle w:val="Funotenzeichen"/>
        </w:rPr>
        <w:footnoteRef/>
      </w:r>
      <w:r w:rsidRPr="00AD2A9D">
        <w:rPr>
          <w:lang w:val="en-US"/>
        </w:rPr>
        <w:t xml:space="preserve"> German Constitutional Court (</w:t>
      </w:r>
      <w:r w:rsidRPr="0083343D">
        <w:rPr>
          <w:lang w:val="en-US"/>
        </w:rPr>
        <w:t>Bundesverfassungsgericht</w:t>
      </w:r>
      <w:r w:rsidRPr="00AD2A9D">
        <w:rPr>
          <w:lang w:val="en-US"/>
        </w:rPr>
        <w:t>)</w:t>
      </w:r>
      <w:r>
        <w:rPr>
          <w:lang w:val="en-US"/>
        </w:rPr>
        <w:t>,</w:t>
      </w:r>
      <w:r w:rsidRPr="00AD2A9D">
        <w:rPr>
          <w:lang w:val="en-US"/>
        </w:rPr>
        <w:t xml:space="preserve"> Judgment of 18 July 2005 – 2 BvR 2236/04,</w:t>
      </w:r>
      <w:r>
        <w:rPr>
          <w:lang w:val="en-US"/>
        </w:rPr>
        <w:t xml:space="preserve"> </w:t>
      </w:r>
      <w:r w:rsidRPr="00D836B7">
        <w:rPr>
          <w:lang w:val="en-US"/>
        </w:rPr>
        <w:t>ECLI:DE:BVerfG:2005:rs20050718.2bvr223604</w:t>
      </w:r>
      <w:r>
        <w:rPr>
          <w:lang w:val="en-US"/>
        </w:rPr>
        <w:t xml:space="preserve">, </w:t>
      </w:r>
      <w:r w:rsidRPr="00AD2A9D">
        <w:rPr>
          <w:lang w:val="en-US"/>
        </w:rPr>
        <w:t>official court reports (BVerfGE) 113, 273, at 306</w:t>
      </w:r>
      <w:r>
        <w:rPr>
          <w:lang w:val="en-US"/>
        </w:rPr>
        <w:t xml:space="preserve">. </w:t>
      </w:r>
    </w:p>
  </w:footnote>
  <w:footnote w:id="44">
    <w:p w14:paraId="7333F6A6" w14:textId="6A1DA82D" w:rsidR="00D81F47" w:rsidRPr="00CF7676" w:rsidRDefault="00D81F47">
      <w:pPr>
        <w:pStyle w:val="Funotentext"/>
      </w:pPr>
      <w:r>
        <w:rPr>
          <w:rStyle w:val="Funotenzeichen"/>
        </w:rPr>
        <w:footnoteRef/>
      </w:r>
      <w:r>
        <w:t xml:space="preserve"> See section 155(1) and (2) of the draft bill and p. 333, 335 of the explanatory memorandum by the Federal Ministry of Justice of 11 September 2024.</w:t>
      </w:r>
    </w:p>
  </w:footnote>
  <w:footnote w:id="45">
    <w:p w14:paraId="766D8E1B" w14:textId="77777777" w:rsidR="00D81F47" w:rsidRPr="006C5B2A" w:rsidRDefault="00D81F47" w:rsidP="006C5B2A">
      <w:pPr>
        <w:pStyle w:val="Funotentext"/>
      </w:pPr>
      <w:r>
        <w:rPr>
          <w:rStyle w:val="Funotenzeichen"/>
        </w:rPr>
        <w:footnoteRef/>
      </w:r>
      <w:r>
        <w:t xml:space="preserve"> See section 155(3) of the draft bill and p. 334 of the explanatory memorandum by the Federal Ministry of Justice of 11 September 2024.</w:t>
      </w:r>
    </w:p>
  </w:footnote>
  <w:footnote w:id="46">
    <w:p w14:paraId="3C9421CA" w14:textId="6C65ADB9" w:rsidR="00D81F47" w:rsidRPr="00707882" w:rsidRDefault="00D81F47" w:rsidP="006C5B2A">
      <w:pPr>
        <w:pStyle w:val="Funotentext"/>
      </w:pPr>
      <w:r>
        <w:rPr>
          <w:rStyle w:val="Funotenzeichen"/>
        </w:rPr>
        <w:footnoteRef/>
      </w:r>
      <w:r>
        <w:t xml:space="preserve"> S</w:t>
      </w:r>
      <w:r w:rsidRPr="0041028C">
        <w:t xml:space="preserve">ee the explanatory memorandum of the German government, Bundestags-Drucksache No. 18/4347, p. 108; Böse,  “§ 84a” in Grützner/Pötz/Kreß/Gazeas/Brodowski (Eds.), </w:t>
      </w:r>
      <w:r w:rsidRPr="0041028C">
        <w:rPr>
          <w:i/>
        </w:rPr>
        <w:t>Internationaler Rechtshilfeverkehr in Strafsachen</w:t>
      </w:r>
      <w:r w:rsidRPr="0041028C">
        <w:t xml:space="preserve">, 3rd ed. </w:t>
      </w:r>
      <w:r w:rsidRPr="00E02DCD">
        <w:t>(5</w:t>
      </w:r>
      <w:r>
        <w:t>7</w:t>
      </w:r>
      <w:r w:rsidRPr="00E02DCD">
        <w:t xml:space="preserve">th installment, C.F. Müller, </w:t>
      </w:r>
      <w:r>
        <w:t>Jun</w:t>
      </w:r>
      <w:r w:rsidRPr="00E02DCD">
        <w:t>.</w:t>
      </w:r>
      <w:r>
        <w:t xml:space="preserve"> </w:t>
      </w:r>
      <w:r w:rsidRPr="00E02DCD">
        <w:t>202</w:t>
      </w:r>
      <w:r>
        <w:t>4</w:t>
      </w:r>
      <w:r w:rsidRPr="00E02DCD">
        <w:t xml:space="preserve">), para. 5; Hackner and Schierholt, </w:t>
      </w:r>
      <w:r w:rsidRPr="00E02DCD">
        <w:rPr>
          <w:i/>
        </w:rPr>
        <w:t>Internationale Rechtshilfe in Strafsachen</w:t>
      </w:r>
      <w:r w:rsidRPr="00E02DCD">
        <w:t>, 4th ed. (C.H. Beck, 2023), para 537, 672; Hackner, „Vor § 84 IRG“</w:t>
      </w:r>
      <w:r w:rsidRPr="00E02DCD">
        <w:rPr>
          <w:i/>
        </w:rPr>
        <w:t xml:space="preserve"> </w:t>
      </w:r>
      <w:r w:rsidRPr="00E02DCD">
        <w:t xml:space="preserve">in Schomburg/Lagodny (Eds.), </w:t>
      </w:r>
      <w:r w:rsidRPr="00E02DCD">
        <w:rPr>
          <w:i/>
        </w:rPr>
        <w:t>Internationale Rechtshilfe in Strafsachen</w:t>
      </w:r>
      <w:r w:rsidRPr="00E02DCD">
        <w:t>, 6th ed., (C.H. Beck, 2020), p. 19.</w:t>
      </w:r>
    </w:p>
  </w:footnote>
  <w:footnote w:id="47">
    <w:p w14:paraId="48BFA808" w14:textId="7BC21934" w:rsidR="00D81F47" w:rsidRPr="00CB796C" w:rsidRDefault="00D81F47">
      <w:pPr>
        <w:pStyle w:val="Funotentext"/>
        <w:rPr>
          <w:lang w:val="en-US"/>
        </w:rPr>
      </w:pPr>
      <w:r>
        <w:rPr>
          <w:rStyle w:val="Funotenzeichen"/>
        </w:rPr>
        <w:footnoteRef/>
      </w:r>
      <w:r w:rsidRPr="0033147B">
        <w:rPr>
          <w:lang w:val="en-GB"/>
        </w:rPr>
        <w:t xml:space="preserve"> </w:t>
      </w:r>
      <w:r w:rsidRPr="00353C2A">
        <w:rPr>
          <w:lang w:val="en-GB"/>
        </w:rPr>
        <w:t>With a view to readability, ‘he’ is used instead of ‘he/she/they’.</w:t>
      </w:r>
    </w:p>
  </w:footnote>
  <w:footnote w:id="48">
    <w:p w14:paraId="091C395B" w14:textId="13C68839" w:rsidR="00D81F47" w:rsidRPr="00AD2A9D" w:rsidRDefault="00D81F47" w:rsidP="005664D0">
      <w:pPr>
        <w:pStyle w:val="Funotentext"/>
        <w:rPr>
          <w:lang w:val="de-DE"/>
        </w:rPr>
      </w:pPr>
      <w:r>
        <w:rPr>
          <w:rStyle w:val="Funotenzeichen"/>
        </w:rPr>
        <w:footnoteRef/>
      </w:r>
      <w:r w:rsidRPr="00AD2A9D">
        <w:rPr>
          <w:lang w:val="de-DE"/>
        </w:rPr>
        <w:t xml:space="preserve"> Cf. Lagodny, “Auslieferung und Überstellung deutscher Staatsangehöriger”, </w:t>
      </w:r>
      <w:r>
        <w:rPr>
          <w:lang w:val="de-DE"/>
        </w:rPr>
        <w:t xml:space="preserve">(2000) </w:t>
      </w:r>
      <w:r w:rsidRPr="00AD2A9D">
        <w:rPr>
          <w:i/>
          <w:lang w:val="de-DE"/>
        </w:rPr>
        <w:t>Zeitschrift für Rechtspolitik</w:t>
      </w:r>
      <w:r w:rsidRPr="00AD2A9D">
        <w:rPr>
          <w:lang w:val="de-DE"/>
        </w:rPr>
        <w:t>, p. 175 (</w:t>
      </w:r>
      <w:r>
        <w:rPr>
          <w:lang w:val="de-DE"/>
        </w:rPr>
        <w:t xml:space="preserve">at </w:t>
      </w:r>
      <w:r w:rsidRPr="00AD2A9D">
        <w:rPr>
          <w:lang w:val="de-DE"/>
        </w:rPr>
        <w:t>176).</w:t>
      </w:r>
    </w:p>
  </w:footnote>
  <w:footnote w:id="49">
    <w:p w14:paraId="74AE7CD6" w14:textId="77D2C448" w:rsidR="00D81F47" w:rsidRPr="00A5588B" w:rsidRDefault="00D81F47">
      <w:pPr>
        <w:pStyle w:val="Funotentext"/>
      </w:pPr>
      <w:r>
        <w:rPr>
          <w:rStyle w:val="Funotenzeichen"/>
        </w:rPr>
        <w:footnoteRef/>
      </w:r>
      <w:r>
        <w:t xml:space="preserve"> See note 46.</w:t>
      </w:r>
    </w:p>
  </w:footnote>
  <w:footnote w:id="50">
    <w:p w14:paraId="41022CC1" w14:textId="3E4C79A7" w:rsidR="00D81F47" w:rsidRPr="00B449B6" w:rsidRDefault="00D81F47" w:rsidP="005664D0">
      <w:pPr>
        <w:pStyle w:val="Funotentext"/>
        <w:rPr>
          <w:lang w:val="en-US"/>
        </w:rPr>
      </w:pPr>
      <w:r>
        <w:rPr>
          <w:rStyle w:val="Funotenzeichen"/>
        </w:rPr>
        <w:footnoteRef/>
      </w:r>
      <w:r w:rsidRPr="00385BEA">
        <w:rPr>
          <w:lang w:val="en-US"/>
        </w:rPr>
        <w:t xml:space="preserve"> Federal </w:t>
      </w:r>
      <w:r w:rsidRPr="00B449B6">
        <w:rPr>
          <w:lang w:val="en-US"/>
        </w:rPr>
        <w:t>Constitutional Court</w:t>
      </w:r>
      <w:r>
        <w:rPr>
          <w:lang w:val="en-US"/>
        </w:rPr>
        <w:t>, official court</w:t>
      </w:r>
      <w:r w:rsidRPr="00B449B6">
        <w:rPr>
          <w:lang w:val="en-US"/>
        </w:rPr>
        <w:t xml:space="preserve"> reports (BVerfGE) </w:t>
      </w:r>
      <w:r>
        <w:rPr>
          <w:lang w:val="en-US"/>
        </w:rPr>
        <w:t xml:space="preserve">vol. </w:t>
      </w:r>
      <w:r w:rsidRPr="00B449B6">
        <w:rPr>
          <w:lang w:val="en-US"/>
        </w:rPr>
        <w:t>113, p. 273 (</w:t>
      </w:r>
      <w:r>
        <w:rPr>
          <w:lang w:val="en-US"/>
        </w:rPr>
        <w:t xml:space="preserve">at </w:t>
      </w:r>
      <w:r w:rsidRPr="00B449B6">
        <w:rPr>
          <w:lang w:val="en-US"/>
        </w:rPr>
        <w:t>303).</w:t>
      </w:r>
    </w:p>
  </w:footnote>
  <w:footnote w:id="51">
    <w:p w14:paraId="43117A43" w14:textId="6EB01C3C" w:rsidR="00D81F47" w:rsidRPr="003C412E" w:rsidRDefault="00D81F47" w:rsidP="005664D0">
      <w:pPr>
        <w:pStyle w:val="Funotentext"/>
        <w:rPr>
          <w:lang w:val="en-US"/>
        </w:rPr>
      </w:pPr>
      <w:r>
        <w:rPr>
          <w:rStyle w:val="Funotenzeichen"/>
        </w:rPr>
        <w:footnoteRef/>
      </w:r>
      <w:r w:rsidRPr="000166A1">
        <w:rPr>
          <w:lang w:val="en-US"/>
        </w:rPr>
        <w:t xml:space="preserve"> See the explanatory mem</w:t>
      </w:r>
      <w:r>
        <w:rPr>
          <w:lang w:val="en-US"/>
        </w:rPr>
        <w:t>orandum of the German government, Bundestags-Drucksache No. 15/1718, p. 11-12.</w:t>
      </w:r>
    </w:p>
  </w:footnote>
  <w:footnote w:id="52">
    <w:p w14:paraId="1F014672" w14:textId="75381983" w:rsidR="00D81F47" w:rsidRPr="00AD2A9D" w:rsidRDefault="00D81F47">
      <w:pPr>
        <w:pStyle w:val="Funotentext"/>
        <w:rPr>
          <w:lang w:val="en-US"/>
        </w:rPr>
      </w:pPr>
      <w:r>
        <w:rPr>
          <w:rStyle w:val="Funotenzeichen"/>
        </w:rPr>
        <w:footnoteRef/>
      </w:r>
      <w:r w:rsidRPr="00AD2A9D">
        <w:rPr>
          <w:lang w:val="en-US"/>
        </w:rPr>
        <w:t xml:space="preserve"> </w:t>
      </w:r>
      <w:r w:rsidRPr="000166A1">
        <w:rPr>
          <w:lang w:val="en-US"/>
        </w:rPr>
        <w:t>See the explanatory mem</w:t>
      </w:r>
      <w:r>
        <w:rPr>
          <w:lang w:val="en-US"/>
        </w:rPr>
        <w:t>orandum of the German government, Bundestags-Drucksache No. 18/4347, p. 42-43, 107-117.</w:t>
      </w:r>
    </w:p>
  </w:footnote>
  <w:footnote w:id="53">
    <w:p w14:paraId="296B4F14" w14:textId="0437B034" w:rsidR="00D81F47" w:rsidRPr="00AD2A9D" w:rsidRDefault="00D81F47">
      <w:pPr>
        <w:pStyle w:val="Funotentext"/>
        <w:rPr>
          <w:lang w:val="en-US"/>
        </w:rPr>
      </w:pPr>
      <w:r>
        <w:rPr>
          <w:rStyle w:val="Funotenzeichen"/>
        </w:rPr>
        <w:footnoteRef/>
      </w:r>
      <w:r w:rsidRPr="00AD2A9D">
        <w:rPr>
          <w:lang w:val="en-US"/>
        </w:rPr>
        <w:t xml:space="preserve"> </w:t>
      </w:r>
      <w:r w:rsidRPr="000166A1">
        <w:rPr>
          <w:lang w:val="en-US"/>
        </w:rPr>
        <w:t>See the explanatory mem</w:t>
      </w:r>
      <w:r>
        <w:rPr>
          <w:lang w:val="en-US"/>
        </w:rPr>
        <w:t>orandum of the German government, Bundestags-Drucksache No. 18/4347, p. 68-69, 151-162.</w:t>
      </w:r>
    </w:p>
  </w:footnote>
  <w:footnote w:id="54">
    <w:p w14:paraId="00D77E96" w14:textId="676F66DF" w:rsidR="00D81F47" w:rsidRPr="00AD2A9D" w:rsidRDefault="00D81F47">
      <w:pPr>
        <w:pStyle w:val="Funotentext"/>
        <w:rPr>
          <w:lang w:val="en-US"/>
        </w:rPr>
      </w:pPr>
      <w:r>
        <w:rPr>
          <w:rStyle w:val="Funotenzeichen"/>
        </w:rPr>
        <w:footnoteRef/>
      </w:r>
      <w:r w:rsidRPr="00AD2A9D">
        <w:rPr>
          <w:lang w:val="en-US"/>
        </w:rPr>
        <w:t xml:space="preserve"> </w:t>
      </w:r>
      <w:r w:rsidRPr="000166A1">
        <w:rPr>
          <w:lang w:val="en-US"/>
        </w:rPr>
        <w:t>See the explanatory mem</w:t>
      </w:r>
      <w:r>
        <w:rPr>
          <w:lang w:val="en-US"/>
        </w:rPr>
        <w:t>orandum of the German government, Bundestags-Drucksache No. 18/4347, p. 187.</w:t>
      </w:r>
    </w:p>
  </w:footnote>
  <w:footnote w:id="55">
    <w:p w14:paraId="54E042A7" w14:textId="1FC46098" w:rsidR="00D81F47" w:rsidRPr="00AB7FF9" w:rsidRDefault="00D81F47">
      <w:pPr>
        <w:pStyle w:val="Funotentext"/>
        <w:rPr>
          <w:lang w:val="de-DE"/>
        </w:rPr>
      </w:pPr>
      <w:r>
        <w:rPr>
          <w:rStyle w:val="Funotenzeichen"/>
        </w:rPr>
        <w:footnoteRef/>
      </w:r>
      <w:r w:rsidRPr="00AD2A9D">
        <w:rPr>
          <w:lang w:val="de-DE"/>
        </w:rPr>
        <w:t xml:space="preserve"> </w:t>
      </w:r>
      <w:r w:rsidRPr="00AB7FF9">
        <w:rPr>
          <w:lang w:val="de-DE"/>
        </w:rPr>
        <w:t>See the explanatory memorandum of the German government, Bundestags-Drucksac</w:t>
      </w:r>
      <w:r>
        <w:rPr>
          <w:lang w:val="de-DE"/>
        </w:rPr>
        <w:t>h</w:t>
      </w:r>
      <w:r w:rsidRPr="00AB7FF9">
        <w:rPr>
          <w:lang w:val="de-DE"/>
        </w:rPr>
        <w:t>e No. 18/4347, p. 187-188; Rothärmel</w:t>
      </w:r>
      <w:r>
        <w:rPr>
          <w:lang w:val="de-DE"/>
        </w:rPr>
        <w:t>,</w:t>
      </w:r>
      <w:r w:rsidRPr="00AB7FF9">
        <w:rPr>
          <w:lang w:val="de-DE"/>
        </w:rPr>
        <w:t xml:space="preserve"> </w:t>
      </w:r>
      <w:r>
        <w:rPr>
          <w:lang w:val="de-DE"/>
        </w:rPr>
        <w:t>“</w:t>
      </w:r>
      <w:r w:rsidRPr="00AB7FF9">
        <w:rPr>
          <w:lang w:val="de-DE"/>
        </w:rPr>
        <w:t>Die grenzüberschreitende Abgabe und Übernahme der Bewährungsüberwachung n</w:t>
      </w:r>
      <w:r>
        <w:rPr>
          <w:lang w:val="de-DE"/>
        </w:rPr>
        <w:t xml:space="preserve">ach Umsetzung des Rahmenbeschlusses 2008/947/JI unter Berücksichtigung von Besonderheiten des Jugendstrafrechts“, (2016) </w:t>
      </w:r>
      <w:r w:rsidRPr="00670608">
        <w:rPr>
          <w:i/>
          <w:lang w:val="de-DE"/>
        </w:rPr>
        <w:t>Zeitschrift für Jugendkriminalrecht und Jugendhilfe</w:t>
      </w:r>
      <w:r>
        <w:rPr>
          <w:i/>
          <w:lang w:val="de-DE"/>
        </w:rPr>
        <w:t>,</w:t>
      </w:r>
      <w:r>
        <w:rPr>
          <w:lang w:val="de-DE"/>
        </w:rPr>
        <w:t xml:space="preserve"> 232 (at 233).</w:t>
      </w:r>
    </w:p>
  </w:footnote>
  <w:footnote w:id="56">
    <w:p w14:paraId="34208DB6" w14:textId="5877DD51" w:rsidR="00D81F47" w:rsidRPr="00AD2A9D" w:rsidRDefault="00D81F47">
      <w:pPr>
        <w:pStyle w:val="Funotentext"/>
        <w:rPr>
          <w:lang w:val="de-DE"/>
        </w:rPr>
      </w:pPr>
      <w:r>
        <w:rPr>
          <w:rStyle w:val="Funotenzeichen"/>
        </w:rPr>
        <w:footnoteRef/>
      </w:r>
      <w:r w:rsidRPr="00AD2A9D">
        <w:rPr>
          <w:lang w:val="de-DE"/>
        </w:rPr>
        <w:t xml:space="preserve"> </w:t>
      </w:r>
      <w:r w:rsidRPr="00AB7FF9">
        <w:rPr>
          <w:lang w:val="de-DE"/>
        </w:rPr>
        <w:t>See the explanatory memorandum of the German government, Bundestags-Drucksac</w:t>
      </w:r>
      <w:r>
        <w:rPr>
          <w:lang w:val="de-DE"/>
        </w:rPr>
        <w:t>h</w:t>
      </w:r>
      <w:r w:rsidRPr="00AB7FF9">
        <w:rPr>
          <w:lang w:val="de-DE"/>
        </w:rPr>
        <w:t>e No. 18/4347, p. 187-188; Rothärmel</w:t>
      </w:r>
      <w:r>
        <w:rPr>
          <w:lang w:val="de-DE"/>
        </w:rPr>
        <w:t>,</w:t>
      </w:r>
      <w:r w:rsidRPr="00AB7FF9">
        <w:rPr>
          <w:lang w:val="de-DE"/>
        </w:rPr>
        <w:t xml:space="preserve"> </w:t>
      </w:r>
      <w:r>
        <w:rPr>
          <w:lang w:val="de-DE"/>
        </w:rPr>
        <w:t>“</w:t>
      </w:r>
      <w:r w:rsidRPr="00AB7FF9">
        <w:rPr>
          <w:lang w:val="de-DE"/>
        </w:rPr>
        <w:t>Die grenzüberschreitende Abgabe und Übernahme der Bewährungsüberwachung n</w:t>
      </w:r>
      <w:r>
        <w:rPr>
          <w:lang w:val="de-DE"/>
        </w:rPr>
        <w:t xml:space="preserve">ach Umsetzung des Rahmenbeschlusses 2008/947/JI unter Berücksichtigung von Besonderheiten des Jugendstrafrechts“, (2016) </w:t>
      </w:r>
      <w:r w:rsidRPr="00670608">
        <w:rPr>
          <w:i/>
          <w:lang w:val="de-DE"/>
        </w:rPr>
        <w:t>Zeitschrift für Jugendkriminalrecht und Jugendhilfe</w:t>
      </w:r>
      <w:r>
        <w:rPr>
          <w:i/>
          <w:lang w:val="de-DE"/>
        </w:rPr>
        <w:t>,</w:t>
      </w:r>
      <w:r>
        <w:rPr>
          <w:lang w:val="de-DE"/>
        </w:rPr>
        <w:t xml:space="preserve"> 232 (at 234).</w:t>
      </w:r>
    </w:p>
  </w:footnote>
  <w:footnote w:id="57">
    <w:p w14:paraId="41786F56" w14:textId="2C3C8719" w:rsidR="00D81F47" w:rsidRPr="00CB796C" w:rsidRDefault="00D81F47">
      <w:pPr>
        <w:pStyle w:val="Funotentext"/>
        <w:rPr>
          <w:i/>
          <w:lang w:val="de-DE"/>
        </w:rPr>
      </w:pPr>
      <w:r>
        <w:rPr>
          <w:rStyle w:val="Funotenzeichen"/>
        </w:rPr>
        <w:footnoteRef/>
      </w:r>
      <w:r w:rsidRPr="00AD2A9D">
        <w:rPr>
          <w:lang w:val="de-DE"/>
        </w:rPr>
        <w:t xml:space="preserve"> Kornprobst</w:t>
      </w:r>
      <w:r>
        <w:rPr>
          <w:lang w:val="de-DE"/>
        </w:rPr>
        <w:t>,</w:t>
      </w:r>
      <w:r w:rsidRPr="00AD2A9D">
        <w:rPr>
          <w:lang w:val="de-DE"/>
        </w:rPr>
        <w:t xml:space="preserve"> </w:t>
      </w:r>
      <w:r>
        <w:rPr>
          <w:lang w:val="de-DE"/>
        </w:rPr>
        <w:t>“</w:t>
      </w:r>
      <w:r w:rsidRPr="00AD2A9D">
        <w:rPr>
          <w:lang w:val="de-DE"/>
        </w:rPr>
        <w:t>§ 35 BtMG</w:t>
      </w:r>
      <w:r>
        <w:rPr>
          <w:lang w:val="de-DE"/>
        </w:rPr>
        <w:t>“</w:t>
      </w:r>
      <w:r w:rsidRPr="00AD2A9D">
        <w:rPr>
          <w:lang w:val="de-DE"/>
        </w:rPr>
        <w:t xml:space="preserve"> in </w:t>
      </w:r>
      <w:r w:rsidRPr="00AD2A9D">
        <w:rPr>
          <w:i/>
          <w:lang w:val="de-DE"/>
        </w:rPr>
        <w:t>Münchener Kommentar zum StGB</w:t>
      </w:r>
      <w:r w:rsidRPr="00AD2A9D">
        <w:rPr>
          <w:lang w:val="de-DE"/>
        </w:rPr>
        <w:t xml:space="preserve">, </w:t>
      </w:r>
      <w:r w:rsidRPr="00AD2A9D">
        <w:rPr>
          <w:i/>
          <w:lang w:val="de-DE"/>
        </w:rPr>
        <w:t xml:space="preserve">Volume 7 Nebenstrafrecht I </w:t>
      </w:r>
      <w:r w:rsidRPr="00AD2A9D">
        <w:rPr>
          <w:lang w:val="de-DE"/>
        </w:rPr>
        <w:t>4th ed</w:t>
      </w:r>
      <w:r>
        <w:rPr>
          <w:lang w:val="de-DE"/>
        </w:rPr>
        <w:t>.</w:t>
      </w:r>
      <w:r w:rsidRPr="00CB796C">
        <w:rPr>
          <w:lang w:val="de-DE"/>
        </w:rPr>
        <w:t>(C.H. Beck, 2022), paras 3, 5, 8</w:t>
      </w:r>
      <w:r w:rsidRPr="00CB796C">
        <w:rPr>
          <w:i/>
          <w:lang w:val="de-DE"/>
        </w:rPr>
        <w:t>.</w:t>
      </w:r>
    </w:p>
  </w:footnote>
  <w:footnote w:id="58">
    <w:p w14:paraId="20F4D95A" w14:textId="4DB57B50" w:rsidR="00D81F47" w:rsidRPr="00AD2A9D" w:rsidRDefault="00D81F47">
      <w:pPr>
        <w:pStyle w:val="Funotentext"/>
        <w:rPr>
          <w:lang w:val="en-US"/>
        </w:rPr>
      </w:pPr>
      <w:r>
        <w:rPr>
          <w:rStyle w:val="Funotenzeichen"/>
        </w:rPr>
        <w:footnoteRef/>
      </w:r>
      <w:r w:rsidRPr="00AD2A9D">
        <w:rPr>
          <w:lang w:val="en-US"/>
        </w:rPr>
        <w:t xml:space="preserve"> See </w:t>
      </w:r>
      <w:r w:rsidRPr="000166A1">
        <w:rPr>
          <w:lang w:val="en-US"/>
        </w:rPr>
        <w:t>the explanatory mem</w:t>
      </w:r>
      <w:r>
        <w:rPr>
          <w:lang w:val="en-US"/>
        </w:rPr>
        <w:t>orandum of the German government, Bundestags-Drucksache No. 18/4894, p. 27-28, 40-47.</w:t>
      </w:r>
    </w:p>
  </w:footnote>
  <w:footnote w:id="59">
    <w:p w14:paraId="2CF559CC" w14:textId="46487C76" w:rsidR="00D81F47" w:rsidRPr="00AD2A9D" w:rsidRDefault="00D81F47">
      <w:pPr>
        <w:pStyle w:val="Funotentext"/>
        <w:rPr>
          <w:lang w:val="en-US"/>
        </w:rPr>
      </w:pPr>
      <w:r>
        <w:rPr>
          <w:rStyle w:val="Funotenzeichen"/>
        </w:rPr>
        <w:footnoteRef/>
      </w:r>
      <w:r w:rsidRPr="00AD2A9D">
        <w:rPr>
          <w:lang w:val="en-US"/>
        </w:rPr>
        <w:t xml:space="preserve"> See </w:t>
      </w:r>
      <w:r w:rsidRPr="000166A1">
        <w:rPr>
          <w:lang w:val="en-US"/>
        </w:rPr>
        <w:t>the explanatory mem</w:t>
      </w:r>
      <w:r>
        <w:rPr>
          <w:lang w:val="en-US"/>
        </w:rPr>
        <w:t>orandum of the German government, Bundestags-Drucksache No. 18/9757, p. 28, 57-65.</w:t>
      </w:r>
    </w:p>
  </w:footnote>
  <w:footnote w:id="60">
    <w:p w14:paraId="3B339969" w14:textId="52BBFFF2" w:rsidR="00D81F47" w:rsidRPr="0041028C" w:rsidRDefault="00D81F47">
      <w:pPr>
        <w:pStyle w:val="Funotentext"/>
      </w:pPr>
      <w:r>
        <w:rPr>
          <w:rStyle w:val="Funotenzeichen"/>
        </w:rPr>
        <w:footnoteRef/>
      </w:r>
      <w:r>
        <w:t xml:space="preserve"> See sections 261, 262 of the draft bill and the explanatory memorandum of the Federal Ministry of Justice, p. 372.</w:t>
      </w:r>
    </w:p>
  </w:footnote>
  <w:footnote w:id="61">
    <w:p w14:paraId="1351AE77" w14:textId="000D0660" w:rsidR="00D81F47" w:rsidRPr="00777A20" w:rsidRDefault="00D81F47" w:rsidP="00777A20">
      <w:pPr>
        <w:pStyle w:val="Funotentext"/>
        <w:jc w:val="both"/>
        <w:rPr>
          <w:lang w:val="en-GB"/>
        </w:rPr>
      </w:pPr>
      <w:r>
        <w:rPr>
          <w:rStyle w:val="Funotenzeichen"/>
        </w:rPr>
        <w:footnoteRef/>
      </w:r>
      <w:r w:rsidRPr="00777A20">
        <w:rPr>
          <w:lang w:val="en-GB"/>
        </w:rPr>
        <w:t xml:space="preserve"> </w:t>
      </w:r>
      <w:r>
        <w:rPr>
          <w:lang w:val="en-GB"/>
        </w:rPr>
        <w:t xml:space="preserve">The CoE is in the process of analysing and reviewing reservations and declarations pertaining to its conventions.  </w:t>
      </w:r>
    </w:p>
  </w:footnote>
  <w:footnote w:id="62">
    <w:p w14:paraId="5F54E4B0" w14:textId="323FFDB8" w:rsidR="00D81F47" w:rsidRPr="00454ABD" w:rsidRDefault="00D81F47">
      <w:pPr>
        <w:pStyle w:val="Funotentext"/>
        <w:rPr>
          <w:lang w:val="de-DE"/>
        </w:rPr>
      </w:pPr>
      <w:r>
        <w:rPr>
          <w:rStyle w:val="Funotenzeichen"/>
        </w:rPr>
        <w:footnoteRef/>
      </w:r>
      <w:r w:rsidRPr="00AD2A9D">
        <w:rPr>
          <w:lang w:val="de-DE"/>
        </w:rPr>
        <w:t xml:space="preserve"> </w:t>
      </w:r>
      <w:r>
        <w:rPr>
          <w:lang w:val="de-DE"/>
        </w:rPr>
        <w:t>Bundesgesetzblatt 1964 II, p. 1369; Bundesgesetzblatt 2005 II, p. 650.</w:t>
      </w:r>
    </w:p>
  </w:footnote>
  <w:footnote w:id="63">
    <w:p w14:paraId="4FE66230" w14:textId="1A6B1CD6" w:rsidR="00D81F47" w:rsidRPr="005A3F32" w:rsidRDefault="00D81F47" w:rsidP="006C724D">
      <w:pPr>
        <w:pStyle w:val="Funotentext"/>
        <w:rPr>
          <w:lang w:val="en-US"/>
        </w:rPr>
      </w:pPr>
      <w:r>
        <w:rPr>
          <w:rStyle w:val="Funotenzeichen"/>
        </w:rPr>
        <w:footnoteRef/>
      </w:r>
      <w:r w:rsidRPr="00AD2A9D">
        <w:rPr>
          <w:lang w:val="de-DE"/>
        </w:rPr>
        <w:t xml:space="preserve"> Oehler</w:t>
      </w:r>
      <w:r>
        <w:rPr>
          <w:lang w:val="de-DE"/>
        </w:rPr>
        <w:t>,</w:t>
      </w:r>
      <w:r w:rsidRPr="00AD2A9D">
        <w:rPr>
          <w:lang w:val="de-DE"/>
        </w:rPr>
        <w:t xml:space="preserve"> </w:t>
      </w:r>
      <w:r w:rsidRPr="00AD2A9D">
        <w:rPr>
          <w:i/>
          <w:lang w:val="de-DE"/>
        </w:rPr>
        <w:t>Internationales Strafrecht</w:t>
      </w:r>
      <w:r>
        <w:rPr>
          <w:i/>
          <w:lang w:val="de-DE"/>
        </w:rPr>
        <w:t>,</w:t>
      </w:r>
      <w:r w:rsidRPr="00AD2A9D">
        <w:rPr>
          <w:lang w:val="de-DE"/>
        </w:rPr>
        <w:t xml:space="preserve"> 2nd ed</w:t>
      </w:r>
      <w:r>
        <w:rPr>
          <w:lang w:val="de-DE"/>
        </w:rPr>
        <w:t>.</w:t>
      </w:r>
      <w:r w:rsidRPr="00AD2A9D">
        <w:rPr>
          <w:lang w:val="de-DE"/>
        </w:rPr>
        <w:t xml:space="preserve"> </w:t>
      </w:r>
      <w:r w:rsidRPr="00E42714">
        <w:rPr>
          <w:lang w:val="de-DE"/>
        </w:rPr>
        <w:t>(Heymanns, 1983), para 688; see also Trautmann,</w:t>
      </w:r>
      <w:r w:rsidRPr="00E42714">
        <w:rPr>
          <w:i/>
          <w:lang w:val="de-DE"/>
        </w:rPr>
        <w:t xml:space="preserve"> </w:t>
      </w:r>
      <w:r w:rsidRPr="00E42714">
        <w:rPr>
          <w:lang w:val="de-DE"/>
        </w:rPr>
        <w:t xml:space="preserve">in Schomburg/Lagodny (Eds.), </w:t>
      </w:r>
      <w:r w:rsidRPr="00E42714">
        <w:rPr>
          <w:i/>
          <w:lang w:val="de-DE"/>
        </w:rPr>
        <w:t>Internationale Rechtshilfe in Strafsachen</w:t>
      </w:r>
      <w:r w:rsidRPr="00E42714">
        <w:rPr>
          <w:lang w:val="de-DE"/>
        </w:rPr>
        <w:t>, 6th ed., (C.H. Beck, 2020), p. 1304;</w:t>
      </w:r>
      <w:r w:rsidRPr="002928D4">
        <w:rPr>
          <w:lang w:val="de-DE"/>
        </w:rPr>
        <w:t xml:space="preserve"> for a detailed assessment see Böse, </w:t>
      </w:r>
      <w:r w:rsidRPr="002928D4">
        <w:rPr>
          <w:i/>
          <w:lang w:val="de-DE"/>
        </w:rPr>
        <w:t xml:space="preserve">Übertragung und Übernahme der Strafverfolgung </w:t>
      </w:r>
      <w:r w:rsidRPr="002928D4">
        <w:rPr>
          <w:lang w:val="de-DE"/>
        </w:rPr>
        <w:t>(Nomos, 2023), p. 90-98</w:t>
      </w:r>
      <w:r>
        <w:rPr>
          <w:lang w:val="de-DE"/>
        </w:rPr>
        <w:t xml:space="preserve">; these concerns are not mentioned </w:t>
      </w:r>
      <w:r w:rsidRPr="005A3F32">
        <w:rPr>
          <w:lang w:val="de-DE"/>
        </w:rPr>
        <w:t xml:space="preserve">by </w:t>
      </w:r>
      <w:r>
        <w:rPr>
          <w:lang w:val="de-DE"/>
        </w:rPr>
        <w:t>Kubiciel,</w:t>
      </w:r>
      <w:r w:rsidRPr="0033147B">
        <w:rPr>
          <w:lang w:val="de-DE"/>
        </w:rPr>
        <w:t xml:space="preserve"> “</w:t>
      </w:r>
      <w:r>
        <w:rPr>
          <w:lang w:val="de-DE"/>
        </w:rPr>
        <w:t>Europäisches Übereinkommen über die Übertragung der Strafverfolgung“</w:t>
      </w:r>
      <w:r w:rsidRPr="00CB796C">
        <w:rPr>
          <w:lang w:val="de-DE"/>
        </w:rPr>
        <w:t xml:space="preserve"> in Ambos/König/Rackow</w:t>
      </w:r>
      <w:r>
        <w:rPr>
          <w:lang w:val="de-DE"/>
        </w:rPr>
        <w:t xml:space="preserve"> (Eds.)</w:t>
      </w:r>
      <w:r w:rsidRPr="0033147B">
        <w:rPr>
          <w:lang w:val="de-DE"/>
        </w:rPr>
        <w:t xml:space="preserve">, </w:t>
      </w:r>
      <w:r w:rsidRPr="0033147B">
        <w:rPr>
          <w:i/>
          <w:lang w:val="de-DE"/>
        </w:rPr>
        <w:t>Rechtshilferecht in Strafsachen</w:t>
      </w:r>
      <w:r w:rsidRPr="0033147B">
        <w:rPr>
          <w:lang w:val="de-DE"/>
        </w:rPr>
        <w:t>, 2nd ed</w:t>
      </w:r>
      <w:r>
        <w:rPr>
          <w:lang w:val="de-DE"/>
        </w:rPr>
        <w:t>.</w:t>
      </w:r>
      <w:r w:rsidRPr="00CB796C">
        <w:rPr>
          <w:lang w:val="de-DE"/>
        </w:rPr>
        <w:t xml:space="preserve"> </w:t>
      </w:r>
      <w:r w:rsidRPr="005A3F32">
        <w:rPr>
          <w:lang w:val="en-US"/>
        </w:rPr>
        <w:t xml:space="preserve">(Nomos, 2020), chapter 4 para </w:t>
      </w:r>
      <w:r w:rsidRPr="002C4638">
        <w:rPr>
          <w:lang w:val="en-US"/>
        </w:rPr>
        <w:t>769</w:t>
      </w:r>
      <w:r>
        <w:rPr>
          <w:lang w:val="en-US"/>
        </w:rPr>
        <w:t xml:space="preserve">, and they have not been raised in the debate on the regulation on transfer of proceedings in criminal matters, see </w:t>
      </w:r>
      <w:r w:rsidRPr="005A3F32">
        <w:rPr>
          <w:lang w:val="en-US"/>
        </w:rPr>
        <w:t xml:space="preserve">the recommendation of the Legal Committee Bundesrats-Drucksache, 175/1/23 </w:t>
      </w:r>
      <w:r>
        <w:rPr>
          <w:lang w:val="en-US"/>
        </w:rPr>
        <w:t>and</w:t>
      </w:r>
      <w:r w:rsidRPr="005A3F32">
        <w:rPr>
          <w:lang w:val="en-US"/>
        </w:rPr>
        <w:t xml:space="preserve"> the </w:t>
      </w:r>
      <w:r w:rsidRPr="002F20E5">
        <w:rPr>
          <w:lang w:val="en-US"/>
        </w:rPr>
        <w:t>s</w:t>
      </w:r>
      <w:r w:rsidRPr="005A3F32">
        <w:rPr>
          <w:lang w:val="en-US"/>
        </w:rPr>
        <w:t>tatement of the German Bar Association by</w:t>
      </w:r>
      <w:r>
        <w:rPr>
          <w:lang w:val="en-US"/>
        </w:rPr>
        <w:t xml:space="preserve"> </w:t>
      </w:r>
      <w:r w:rsidRPr="005A3F32">
        <w:rPr>
          <w:lang w:val="en-US"/>
        </w:rPr>
        <w:t xml:space="preserve">the Criminal Law Committee </w:t>
      </w:r>
      <w:r>
        <w:rPr>
          <w:lang w:val="en-US"/>
        </w:rPr>
        <w:t xml:space="preserve">No. 41/2023. </w:t>
      </w:r>
    </w:p>
  </w:footnote>
  <w:footnote w:id="64">
    <w:p w14:paraId="32582E8F" w14:textId="06E51CAF" w:rsidR="00D81F47" w:rsidRPr="00AD2A9D" w:rsidRDefault="00D81F47">
      <w:pPr>
        <w:pStyle w:val="Funotentext"/>
        <w:rPr>
          <w:lang w:val="en-US"/>
        </w:rPr>
      </w:pPr>
      <w:r>
        <w:rPr>
          <w:rStyle w:val="Funotenzeichen"/>
        </w:rPr>
        <w:footnoteRef/>
      </w:r>
      <w:r w:rsidRPr="005A3F32">
        <w:rPr>
          <w:lang w:val="en-US"/>
        </w:rPr>
        <w:t xml:space="preserve"> See e.g. Art. </w:t>
      </w:r>
      <w:r w:rsidRPr="00AD2A9D">
        <w:rPr>
          <w:lang w:val="en-US"/>
        </w:rPr>
        <w:t>XI of the bilateral treaty with the Kingdom of the Netherlands of 30 August 1979, Bundesgesetzblatt 1981 II</w:t>
      </w:r>
      <w:r>
        <w:rPr>
          <w:lang w:val="en-US"/>
        </w:rPr>
        <w:t>,</w:t>
      </w:r>
      <w:r w:rsidRPr="00AD2A9D">
        <w:rPr>
          <w:lang w:val="en-US"/>
        </w:rPr>
        <w:t xml:space="preserve"> p. 1158. Germany has concluded similar treaties with Austria, France, Italy, the Czech Republic and the former Yugosla</w:t>
      </w:r>
      <w:r>
        <w:rPr>
          <w:lang w:val="en-US"/>
        </w:rPr>
        <w:t>v</w:t>
      </w:r>
      <w:r w:rsidRPr="00AD2A9D">
        <w:rPr>
          <w:lang w:val="en-US"/>
        </w:rPr>
        <w:t>ia (Croatia, Slo</w:t>
      </w:r>
      <w:r>
        <w:rPr>
          <w:lang w:val="en-US"/>
        </w:rPr>
        <w:t>v</w:t>
      </w:r>
      <w:r w:rsidRPr="00AD2A9D">
        <w:rPr>
          <w:lang w:val="en-US"/>
        </w:rPr>
        <w:t xml:space="preserve">enia), see Böse, </w:t>
      </w:r>
      <w:r w:rsidRPr="00AD2A9D">
        <w:rPr>
          <w:i/>
          <w:lang w:val="en-US"/>
        </w:rPr>
        <w:t>Übertragung und Übernahme der Strafverfolgung</w:t>
      </w:r>
      <w:r w:rsidRPr="00AD2A9D">
        <w:rPr>
          <w:lang w:val="en-US"/>
        </w:rPr>
        <w:t xml:space="preserve"> </w:t>
      </w:r>
      <w:r>
        <w:rPr>
          <w:lang w:val="en-US"/>
        </w:rPr>
        <w:t>(</w:t>
      </w:r>
      <w:r w:rsidRPr="00AD2A9D">
        <w:rPr>
          <w:lang w:val="en-US"/>
        </w:rPr>
        <w:t>Nomos</w:t>
      </w:r>
      <w:r>
        <w:rPr>
          <w:lang w:val="en-US"/>
        </w:rPr>
        <w:t>,</w:t>
      </w:r>
      <w:r w:rsidRPr="00AD2A9D">
        <w:rPr>
          <w:lang w:val="en-US"/>
        </w:rPr>
        <w:t xml:space="preserve"> 2023</w:t>
      </w:r>
      <w:r>
        <w:rPr>
          <w:lang w:val="en-US"/>
        </w:rPr>
        <w:t>)</w:t>
      </w:r>
      <w:r w:rsidRPr="00AD2A9D">
        <w:rPr>
          <w:lang w:val="en-US"/>
        </w:rPr>
        <w:t>, p. 32, with further references.</w:t>
      </w:r>
    </w:p>
  </w:footnote>
  <w:footnote w:id="65">
    <w:p w14:paraId="5947D604" w14:textId="21B6EDF8" w:rsidR="00D81F47" w:rsidRPr="00CB796C" w:rsidRDefault="00D81F47">
      <w:pPr>
        <w:pStyle w:val="Funotentext"/>
        <w:rPr>
          <w:lang w:val="en-US"/>
        </w:rPr>
      </w:pPr>
      <w:r>
        <w:rPr>
          <w:rStyle w:val="Funotenzeichen"/>
        </w:rPr>
        <w:footnoteRef/>
      </w:r>
      <w:r w:rsidRPr="005D00B5">
        <w:rPr>
          <w:lang w:val="de-DE"/>
        </w:rPr>
        <w:t xml:space="preserve"> Federal Court of Justice (</w:t>
      </w:r>
      <w:r w:rsidRPr="005D00B5">
        <w:rPr>
          <w:i/>
          <w:lang w:val="de-DE"/>
        </w:rPr>
        <w:t>Bundesgerichtshof)</w:t>
      </w:r>
      <w:r w:rsidRPr="005D00B5">
        <w:rPr>
          <w:lang w:val="de-DE"/>
        </w:rPr>
        <w:t xml:space="preserve">, Judgment of 10 June 1999 - 4 StR 87–98, (1999) </w:t>
      </w:r>
      <w:r w:rsidRPr="005D00B5">
        <w:rPr>
          <w:i/>
          <w:lang w:val="de-DE"/>
        </w:rPr>
        <w:t>Neue Zeitschrift für Strafrecht</w:t>
      </w:r>
      <w:r>
        <w:rPr>
          <w:i/>
          <w:lang w:val="de-DE"/>
        </w:rPr>
        <w:t>,</w:t>
      </w:r>
      <w:r w:rsidRPr="005D00B5">
        <w:rPr>
          <w:lang w:val="de-DE"/>
        </w:rPr>
        <w:t xml:space="preserve"> 579 (</w:t>
      </w:r>
      <w:r>
        <w:rPr>
          <w:lang w:val="de-DE"/>
        </w:rPr>
        <w:t xml:space="preserve">at </w:t>
      </w:r>
      <w:r w:rsidRPr="005D00B5">
        <w:rPr>
          <w:lang w:val="de-DE"/>
        </w:rPr>
        <w:t>580); Trautmann and Zimmermann, “Vor § 59 IRG” in Schomburg</w:t>
      </w:r>
      <w:r>
        <w:rPr>
          <w:lang w:val="de-DE"/>
        </w:rPr>
        <w:t>/</w:t>
      </w:r>
      <w:r w:rsidRPr="005D00B5">
        <w:rPr>
          <w:lang w:val="de-DE"/>
        </w:rPr>
        <w:t xml:space="preserve">Lagodny, </w:t>
      </w:r>
      <w:r w:rsidRPr="005D00B5">
        <w:rPr>
          <w:i/>
          <w:lang w:val="de-DE"/>
        </w:rPr>
        <w:t>Internationale Rechtshilfe in Strafsachen</w:t>
      </w:r>
      <w:r w:rsidRPr="005D00B5">
        <w:rPr>
          <w:lang w:val="de-DE"/>
        </w:rPr>
        <w:t>, 6th ed</w:t>
      </w:r>
      <w:r w:rsidRPr="00CB796C">
        <w:rPr>
          <w:lang w:val="de-DE"/>
        </w:rPr>
        <w:t xml:space="preserve">. </w:t>
      </w:r>
      <w:r w:rsidRPr="00CB796C">
        <w:rPr>
          <w:lang w:val="en-US"/>
        </w:rPr>
        <w:t>(C.H. Beck, 2020), para 17.</w:t>
      </w:r>
    </w:p>
  </w:footnote>
  <w:footnote w:id="66">
    <w:p w14:paraId="5BC09C61" w14:textId="1129CA33" w:rsidR="00D81F47" w:rsidRPr="00CB796C" w:rsidRDefault="00D81F47">
      <w:pPr>
        <w:pStyle w:val="Funotentext"/>
        <w:rPr>
          <w:lang w:val="de-DE"/>
        </w:rPr>
      </w:pPr>
      <w:r>
        <w:rPr>
          <w:rStyle w:val="Funotenzeichen"/>
        </w:rPr>
        <w:footnoteRef/>
      </w:r>
      <w:r w:rsidRPr="00AD2A9D">
        <w:rPr>
          <w:lang w:val="en-US"/>
        </w:rPr>
        <w:t xml:space="preserve"> See with regard to the general provision (section 61a AICCM) </w:t>
      </w:r>
      <w:r w:rsidRPr="000166A1">
        <w:rPr>
          <w:lang w:val="en-US"/>
        </w:rPr>
        <w:t>the explanatory mem</w:t>
      </w:r>
      <w:r>
        <w:rPr>
          <w:lang w:val="en-US"/>
        </w:rPr>
        <w:t xml:space="preserve">orandum of the German government, Bundestags-Drucksache No. 15/5487, p. 5; </w:t>
      </w:r>
      <w:r w:rsidRPr="00FB5AD0">
        <w:rPr>
          <w:lang w:val="en-US"/>
        </w:rPr>
        <w:t>Trautmann</w:t>
      </w:r>
      <w:r>
        <w:rPr>
          <w:lang w:val="en-US"/>
        </w:rPr>
        <w:t>,</w:t>
      </w:r>
      <w:r w:rsidRPr="00FB5AD0">
        <w:rPr>
          <w:lang w:val="en-US"/>
        </w:rPr>
        <w:t xml:space="preserve"> “§ </w:t>
      </w:r>
      <w:r>
        <w:rPr>
          <w:lang w:val="en-US"/>
        </w:rPr>
        <w:t>61a</w:t>
      </w:r>
      <w:r w:rsidRPr="00FB5AD0">
        <w:rPr>
          <w:lang w:val="en-US"/>
        </w:rPr>
        <w:t xml:space="preserve"> IRG” in Schomburg</w:t>
      </w:r>
      <w:r>
        <w:rPr>
          <w:lang w:val="en-US"/>
        </w:rPr>
        <w:t xml:space="preserve"> </w:t>
      </w:r>
      <w:r w:rsidRPr="00FB5AD0">
        <w:rPr>
          <w:lang w:val="en-US"/>
        </w:rPr>
        <w:t xml:space="preserve">/Lagodny, </w:t>
      </w:r>
      <w:r w:rsidRPr="00CB796C">
        <w:rPr>
          <w:i/>
          <w:iCs/>
          <w:lang w:val="en-US"/>
        </w:rPr>
        <w:t>Internationale Rechtshilfe in Strafsachen</w:t>
      </w:r>
      <w:r w:rsidRPr="00FB5AD0">
        <w:rPr>
          <w:lang w:val="en-US"/>
        </w:rPr>
        <w:t>, 6th ed</w:t>
      </w:r>
      <w:r>
        <w:rPr>
          <w:lang w:val="en-US"/>
        </w:rPr>
        <w:t>.</w:t>
      </w:r>
      <w:r w:rsidRPr="00FB5AD0">
        <w:rPr>
          <w:lang w:val="en-US"/>
        </w:rPr>
        <w:t xml:space="preserve"> </w:t>
      </w:r>
      <w:r w:rsidRPr="00CB796C">
        <w:rPr>
          <w:lang w:val="de-DE"/>
        </w:rPr>
        <w:t>(C.H. Beck, 2020), para 15.</w:t>
      </w:r>
    </w:p>
  </w:footnote>
  <w:footnote w:id="67">
    <w:p w14:paraId="42341AF5" w14:textId="0B3EBAFB" w:rsidR="00D81F47" w:rsidRPr="00AD2A9D" w:rsidRDefault="00D81F47">
      <w:pPr>
        <w:pStyle w:val="Funotentext"/>
        <w:rPr>
          <w:lang w:val="de-DE"/>
        </w:rPr>
      </w:pPr>
      <w:r>
        <w:rPr>
          <w:rStyle w:val="Funotenzeichen"/>
        </w:rPr>
        <w:footnoteRef/>
      </w:r>
      <w:r w:rsidRPr="00AD2A9D">
        <w:rPr>
          <w:lang w:val="de-DE"/>
        </w:rPr>
        <w:t xml:space="preserve"> Böse, </w:t>
      </w:r>
      <w:r w:rsidRPr="00AD2A9D">
        <w:rPr>
          <w:i/>
          <w:lang w:val="de-DE"/>
        </w:rPr>
        <w:t>Übertragung und Übernahme der Strafverfolgung</w:t>
      </w:r>
      <w:r w:rsidRPr="00AD2A9D">
        <w:rPr>
          <w:lang w:val="de-DE"/>
        </w:rPr>
        <w:t xml:space="preserve"> </w:t>
      </w:r>
      <w:r>
        <w:rPr>
          <w:lang w:val="de-DE"/>
        </w:rPr>
        <w:t>(</w:t>
      </w:r>
      <w:r w:rsidRPr="00AD2A9D">
        <w:rPr>
          <w:lang w:val="de-DE"/>
        </w:rPr>
        <w:t>Nomos</w:t>
      </w:r>
      <w:r>
        <w:rPr>
          <w:lang w:val="de-DE"/>
        </w:rPr>
        <w:t>,</w:t>
      </w:r>
      <w:r w:rsidRPr="00AD2A9D">
        <w:rPr>
          <w:lang w:val="de-DE"/>
        </w:rPr>
        <w:t xml:space="preserve"> 2023</w:t>
      </w:r>
      <w:r>
        <w:rPr>
          <w:lang w:val="de-DE"/>
        </w:rPr>
        <w:t>)</w:t>
      </w:r>
      <w:r w:rsidRPr="00AD2A9D">
        <w:rPr>
          <w:lang w:val="de-DE"/>
        </w:rPr>
        <w:t>, p. 61, 64.</w:t>
      </w:r>
    </w:p>
  </w:footnote>
  <w:footnote w:id="68">
    <w:p w14:paraId="2F8DAFCF" w14:textId="07C5EAB8" w:rsidR="00D81F47" w:rsidRPr="00D85E61" w:rsidRDefault="00D81F47">
      <w:pPr>
        <w:pStyle w:val="Funotentext"/>
        <w:rPr>
          <w:lang w:val="en-US"/>
        </w:rPr>
      </w:pPr>
      <w:r>
        <w:rPr>
          <w:rStyle w:val="Funotenzeichen"/>
        </w:rPr>
        <w:footnoteRef/>
      </w:r>
      <w:r>
        <w:t xml:space="preserve"> </w:t>
      </w:r>
      <w:r>
        <w:rPr>
          <w:lang w:val="en-US"/>
        </w:rPr>
        <w:t>2023/0093(COD).</w:t>
      </w:r>
    </w:p>
  </w:footnote>
  <w:footnote w:id="69">
    <w:p w14:paraId="3B35B3CA" w14:textId="77777777" w:rsidR="00D81F47" w:rsidRPr="00353C2A" w:rsidRDefault="00D81F47" w:rsidP="00777A20">
      <w:pPr>
        <w:pStyle w:val="Funotentext"/>
        <w:jc w:val="both"/>
        <w:rPr>
          <w:lang w:val="en-GB"/>
        </w:rPr>
      </w:pPr>
      <w:r w:rsidRPr="00353C2A">
        <w:rPr>
          <w:rStyle w:val="Funotenzeichen"/>
          <w:rFonts w:eastAsiaTheme="majorEastAsia"/>
        </w:rPr>
        <w:footnoteRef/>
      </w:r>
      <w:r w:rsidRPr="00353C2A">
        <w:rPr>
          <w:lang w:val="en-GB"/>
        </w:rPr>
        <w:t xml:space="preserve"> See </w:t>
      </w:r>
      <w:r w:rsidRPr="00353C2A">
        <w:rPr>
          <w:i/>
          <w:iCs/>
          <w:lang w:val="en-GB"/>
        </w:rPr>
        <w:t>MR2.0: some preliminary explorations</w:t>
      </w:r>
      <w:r w:rsidRPr="00353C2A">
        <w:rPr>
          <w:lang w:val="en-GB"/>
        </w:rPr>
        <w:t>, p. 16.</w:t>
      </w:r>
    </w:p>
  </w:footnote>
  <w:footnote w:id="70">
    <w:p w14:paraId="631CEF55" w14:textId="47CC495A" w:rsidR="00D81F47" w:rsidRPr="00AD2A9D" w:rsidRDefault="00D81F47">
      <w:pPr>
        <w:pStyle w:val="Funotentext"/>
        <w:rPr>
          <w:lang w:val="en-US"/>
        </w:rPr>
      </w:pPr>
      <w:r>
        <w:rPr>
          <w:rStyle w:val="Funotenzeichen"/>
        </w:rPr>
        <w:footnoteRef/>
      </w:r>
      <w:r w:rsidRPr="00AD2A9D">
        <w:rPr>
          <w:lang w:val="en-US"/>
        </w:rPr>
        <w:t xml:space="preserve"> See the jurisdictional agreement of the Federal Government and the state (</w:t>
      </w:r>
      <w:r w:rsidRPr="00CB796C">
        <w:rPr>
          <w:i/>
          <w:iCs/>
          <w:lang w:val="en-US"/>
        </w:rPr>
        <w:t>Länder</w:t>
      </w:r>
      <w:r w:rsidRPr="00AD2A9D">
        <w:rPr>
          <w:lang w:val="en-US"/>
        </w:rPr>
        <w:t>) governments of 28 April 2004 (Federal Bulletin [Bundesanzeiger]</w:t>
      </w:r>
      <w:r>
        <w:rPr>
          <w:lang w:val="en-US"/>
        </w:rPr>
        <w:t>,</w:t>
      </w:r>
      <w:r w:rsidRPr="00AD2A9D">
        <w:rPr>
          <w:lang w:val="en-US"/>
        </w:rPr>
        <w:t xml:space="preserve"> p. 11494), which entered into force on 1 May 2004 and the jurisdiction regulations of the individual federal states.</w:t>
      </w:r>
    </w:p>
  </w:footnote>
  <w:footnote w:id="71">
    <w:p w14:paraId="3E0FD674" w14:textId="2BE94AC7" w:rsidR="00D81F47" w:rsidRPr="00AD2A9D" w:rsidRDefault="00D81F47">
      <w:pPr>
        <w:pStyle w:val="Funotentext"/>
        <w:rPr>
          <w:i/>
          <w:lang w:val="en-US"/>
        </w:rPr>
      </w:pPr>
      <w:r>
        <w:rPr>
          <w:rStyle w:val="Funotenzeichen"/>
        </w:rPr>
        <w:footnoteRef/>
      </w:r>
      <w:r w:rsidRPr="00AD2A9D">
        <w:rPr>
          <w:lang w:val="en-US"/>
        </w:rPr>
        <w:t xml:space="preserve"> Section 5 No. 2 Regulation on the competence in international cooperation in criminal matters in Bavaria of 29 June 2004 (Bay GVBl. 2004, p. 260; section I.6.c) of the circular on the competences in international cooperation in criminal matters in Brandenburg of 4 September 2020, JMBl. 2020, p. 130; section A.2. of the circular on cooperation in international cooperation in criminal matters in Hamburg of 28 December 2010, HmbJVBL 2011, p. 28; part 1 chapter 2 No. 1 of the circular on competences in international cooperation in criminal matters in Mecklenburg-Vorpommern of 13 August 2004, Amtsbl. M-V 2004, p. 846; section 1.6 of the circular on competences in international cooperation in criminal matters in Niedersachsen of 13 October 2005, Nds. MBl. 2005, p. 858; section 1.2.1.7 of the circular on the competences in international cooperation in criminal matters in Nordrhein-Westfalen of 16 December 2016, JMBl. NRW 2017, p. 74; section 2 No. 3 lit. a Regulation on the competences in international cooperation in criminal matters in Thüringen of 30 January 2013, GVBl. 2013, p. 62.</w:t>
      </w:r>
    </w:p>
  </w:footnote>
  <w:footnote w:id="72">
    <w:p w14:paraId="21E43931" w14:textId="1B7A1F76" w:rsidR="00D81F47" w:rsidRPr="00464EE2" w:rsidRDefault="00D81F47">
      <w:pPr>
        <w:pStyle w:val="Funotentext"/>
      </w:pPr>
      <w:r w:rsidRPr="007D78D2">
        <w:rPr>
          <w:rStyle w:val="Funotenzeichen"/>
          <w:color w:val="000000" w:themeColor="text1"/>
        </w:rPr>
        <w:footnoteRef/>
      </w:r>
      <w:r w:rsidRPr="007D78D2">
        <w:rPr>
          <w:color w:val="000000" w:themeColor="text1"/>
        </w:rPr>
        <w:t xml:space="preserve"> </w:t>
      </w:r>
      <w:r>
        <w:rPr>
          <w:color w:val="000000" w:themeColor="text1"/>
        </w:rPr>
        <w:t xml:space="preserve">Notification of 7 September 2006, </w:t>
      </w:r>
      <w:r w:rsidRPr="007D78D2">
        <w:rPr>
          <w:color w:val="000000" w:themeColor="text1"/>
          <w:lang w:val="en" w:eastAsia="de-DE"/>
        </w:rPr>
        <w:t>Council</w:t>
      </w:r>
      <w:r>
        <w:rPr>
          <w:color w:val="000000" w:themeColor="text1"/>
          <w:lang w:val="en" w:eastAsia="de-DE"/>
        </w:rPr>
        <w:t>-D</w:t>
      </w:r>
      <w:r w:rsidRPr="007D78D2">
        <w:rPr>
          <w:color w:val="000000" w:themeColor="text1"/>
          <w:lang w:val="en" w:eastAsia="de-DE"/>
        </w:rPr>
        <w:t xml:space="preserve">ocument </w:t>
      </w:r>
      <w:r>
        <w:rPr>
          <w:color w:val="000000" w:themeColor="text1"/>
          <w:lang w:val="en" w:eastAsia="de-DE"/>
        </w:rPr>
        <w:t xml:space="preserve">No. </w:t>
      </w:r>
      <w:r w:rsidRPr="007D78D2">
        <w:rPr>
          <w:color w:val="000000" w:themeColor="text1"/>
          <w:lang w:val="en" w:eastAsia="de-DE"/>
        </w:rPr>
        <w:t>12509/06.</w:t>
      </w:r>
    </w:p>
  </w:footnote>
  <w:footnote w:id="73">
    <w:p w14:paraId="66792610" w14:textId="77777777" w:rsidR="00D81F47" w:rsidRPr="00A47365" w:rsidRDefault="00D81F47" w:rsidP="00FD5662">
      <w:pPr>
        <w:pStyle w:val="Funotentext"/>
      </w:pPr>
      <w:r>
        <w:rPr>
          <w:rStyle w:val="Funotenzeichen"/>
        </w:rPr>
        <w:footnoteRef/>
      </w:r>
      <w:r>
        <w:t xml:space="preserve"> </w:t>
      </w:r>
      <w:r w:rsidRPr="00B96EBC">
        <w:rPr>
          <w:lang w:val="de-DE"/>
        </w:rPr>
        <w:t>Hackner, “</w:t>
      </w:r>
      <w:r>
        <w:rPr>
          <w:lang w:val="de-DE"/>
        </w:rPr>
        <w:t>RB-EUHb</w:t>
      </w:r>
      <w:r w:rsidRPr="00B96EBC">
        <w:rPr>
          <w:lang w:val="de-DE"/>
        </w:rPr>
        <w:t xml:space="preserve">” in Schomburg/Lagodny, </w:t>
      </w:r>
      <w:r w:rsidRPr="00B96EBC">
        <w:rPr>
          <w:i/>
          <w:lang w:val="de-DE"/>
        </w:rPr>
        <w:t>Internationale Rechtshilfe in Strafsachen</w:t>
      </w:r>
      <w:r w:rsidRPr="00B96EBC">
        <w:rPr>
          <w:lang w:val="de-DE"/>
        </w:rPr>
        <w:t xml:space="preserve">, 6th ed. </w:t>
      </w:r>
      <w:r w:rsidRPr="007D78D2">
        <w:rPr>
          <w:lang w:val="en-US"/>
        </w:rPr>
        <w:t>(C.H. Beck, 2020), para 17.</w:t>
      </w:r>
    </w:p>
  </w:footnote>
  <w:footnote w:id="74">
    <w:p w14:paraId="587A3EBE" w14:textId="0097E85C" w:rsidR="00D81F47" w:rsidRPr="00EC477F" w:rsidRDefault="00D81F47" w:rsidP="00584FDF">
      <w:pPr>
        <w:pStyle w:val="Funotentext"/>
        <w:rPr>
          <w:rFonts w:ascii="Roboto" w:hAnsi="Roboto"/>
          <w:color w:val="333333"/>
          <w:sz w:val="21"/>
          <w:szCs w:val="21"/>
          <w:shd w:val="clear" w:color="auto" w:fill="FFFFFF"/>
          <w:lang w:val="en-US"/>
        </w:rPr>
      </w:pPr>
      <w:r>
        <w:rPr>
          <w:rStyle w:val="Funotenzeichen"/>
        </w:rPr>
        <w:footnoteRef/>
      </w:r>
      <w:r w:rsidRPr="00AD2A9D">
        <w:rPr>
          <w:lang w:val="en-US"/>
        </w:rPr>
        <w:t xml:space="preserve"> CJEU, </w:t>
      </w:r>
      <w:r>
        <w:rPr>
          <w:lang w:val="en-US"/>
        </w:rPr>
        <w:t>J</w:t>
      </w:r>
      <w:r w:rsidRPr="00AD2A9D">
        <w:rPr>
          <w:lang w:val="en-US"/>
        </w:rPr>
        <w:t xml:space="preserve">udgment of 27 May 2019, </w:t>
      </w:r>
      <w:r>
        <w:rPr>
          <w:lang w:val="en-US"/>
        </w:rPr>
        <w:t xml:space="preserve">Joined </w:t>
      </w:r>
      <w:r w:rsidRPr="00AD2A9D">
        <w:rPr>
          <w:lang w:val="en-US"/>
        </w:rPr>
        <w:t>Case</w:t>
      </w:r>
      <w:r>
        <w:rPr>
          <w:lang w:val="en-US"/>
        </w:rPr>
        <w:t>s</w:t>
      </w:r>
      <w:r w:rsidRPr="00AD2A9D">
        <w:rPr>
          <w:lang w:val="en-US"/>
        </w:rPr>
        <w:t xml:space="preserve"> C-508/18 and C-82/19, OG and PI</w:t>
      </w:r>
      <w:r>
        <w:rPr>
          <w:lang w:val="en-US"/>
        </w:rPr>
        <w:t>,</w:t>
      </w:r>
      <w:r>
        <w:rPr>
          <w:rFonts w:ascii="Roboto" w:hAnsi="Roboto"/>
          <w:color w:val="333333"/>
          <w:sz w:val="21"/>
          <w:szCs w:val="21"/>
          <w:shd w:val="clear" w:color="auto" w:fill="FFFFFF"/>
          <w:lang w:val="en-US"/>
        </w:rPr>
        <w:t xml:space="preserve"> </w:t>
      </w:r>
      <w:r w:rsidRPr="00EC477F">
        <w:rPr>
          <w:rFonts w:asciiTheme="majorBidi" w:hAnsiTheme="majorBidi" w:cstheme="majorBidi"/>
          <w:color w:val="000000" w:themeColor="text1"/>
          <w:sz w:val="21"/>
          <w:szCs w:val="21"/>
          <w:shd w:val="clear" w:color="auto" w:fill="FFFFFF"/>
          <w:lang w:val="en-US"/>
        </w:rPr>
        <w:t>EU:C:2019:456</w:t>
      </w:r>
      <w:r>
        <w:rPr>
          <w:rFonts w:asciiTheme="majorBidi" w:hAnsiTheme="majorBidi" w:cstheme="majorBidi"/>
          <w:color w:val="000000" w:themeColor="text1"/>
          <w:sz w:val="21"/>
          <w:szCs w:val="21"/>
          <w:shd w:val="clear" w:color="auto" w:fill="FFFFFF"/>
          <w:lang w:val="en-US"/>
        </w:rPr>
        <w:t>,</w:t>
      </w:r>
      <w:r w:rsidRPr="00EC477F">
        <w:rPr>
          <w:color w:val="000000" w:themeColor="text1"/>
          <w:lang w:val="en-US"/>
        </w:rPr>
        <w:t xml:space="preserve"> </w:t>
      </w:r>
      <w:r w:rsidRPr="00AD2A9D">
        <w:rPr>
          <w:lang w:val="en-US"/>
        </w:rPr>
        <w:t>para 64 ff.</w:t>
      </w:r>
    </w:p>
  </w:footnote>
  <w:footnote w:id="75">
    <w:p w14:paraId="551ED731" w14:textId="339E15EE" w:rsidR="00D81F47" w:rsidRPr="00B96EBC" w:rsidRDefault="00D81F47">
      <w:pPr>
        <w:pStyle w:val="Funotentext"/>
        <w:rPr>
          <w:lang w:val="en-US"/>
        </w:rPr>
      </w:pPr>
      <w:r>
        <w:rPr>
          <w:rStyle w:val="Funotenzeichen"/>
        </w:rPr>
        <w:footnoteRef/>
      </w:r>
      <w:r w:rsidRPr="00AD2A9D">
        <w:rPr>
          <w:lang w:val="en-US"/>
        </w:rPr>
        <w:t xml:space="preserve"> Higher Regional Court Zweibrücken, decision of 11 July 2019 – 1 Ws 203/19, </w:t>
      </w:r>
      <w:r>
        <w:rPr>
          <w:lang w:val="en-US"/>
        </w:rPr>
        <w:t xml:space="preserve">(2019) </w:t>
      </w:r>
      <w:r w:rsidRPr="00CB796C">
        <w:rPr>
          <w:i/>
          <w:iCs/>
          <w:lang w:val="en-US"/>
        </w:rPr>
        <w:t>Neue Juristische Wochenschrift</w:t>
      </w:r>
      <w:r w:rsidRPr="00AD2A9D">
        <w:rPr>
          <w:lang w:val="en-US"/>
        </w:rPr>
        <w:t>, p. 2869; Higher Regional Court Hamm, decision of 1 August 2019 – 2 Ws 96/19, juris; for the position of the government see also B</w:t>
      </w:r>
      <w:r>
        <w:rPr>
          <w:lang w:val="en-US"/>
        </w:rPr>
        <w:t>undestags</w:t>
      </w:r>
      <w:r w:rsidRPr="00AD2A9D">
        <w:rPr>
          <w:lang w:val="en-US"/>
        </w:rPr>
        <w:t>-Drucks</w:t>
      </w:r>
      <w:r>
        <w:rPr>
          <w:lang w:val="en-US"/>
        </w:rPr>
        <w:t>ache</w:t>
      </w:r>
      <w:r w:rsidRPr="00AD2A9D">
        <w:rPr>
          <w:lang w:val="en-US"/>
        </w:rPr>
        <w:t xml:space="preserve"> </w:t>
      </w:r>
      <w:r w:rsidRPr="00B96EBC">
        <w:rPr>
          <w:lang w:val="en-US"/>
        </w:rPr>
        <w:t>19/11017, p. 25</w:t>
      </w:r>
    </w:p>
  </w:footnote>
  <w:footnote w:id="76">
    <w:p w14:paraId="45A0B3E2" w14:textId="52BC0D9F" w:rsidR="00D81F47" w:rsidRPr="00CB796C" w:rsidRDefault="00D81F47">
      <w:pPr>
        <w:pStyle w:val="Funotentext"/>
        <w:rPr>
          <w:lang w:val="en-US"/>
        </w:rPr>
      </w:pPr>
      <w:r>
        <w:rPr>
          <w:rStyle w:val="Funotenzeichen"/>
        </w:rPr>
        <w:footnoteRef/>
      </w:r>
      <w:r w:rsidRPr="00B96EBC">
        <w:rPr>
          <w:lang w:val="de-DE"/>
        </w:rPr>
        <w:t xml:space="preserve"> Hackner, “Vor § 78 IRG” in Schomburg/Lagodny, </w:t>
      </w:r>
      <w:r w:rsidRPr="00B96EBC">
        <w:rPr>
          <w:i/>
          <w:lang w:val="de-DE"/>
        </w:rPr>
        <w:t>Internationale Rechtshilfe in Strafsachen</w:t>
      </w:r>
      <w:r w:rsidRPr="00B96EBC">
        <w:rPr>
          <w:lang w:val="de-DE"/>
        </w:rPr>
        <w:t xml:space="preserve">, 6th ed. </w:t>
      </w:r>
      <w:r w:rsidRPr="00CB796C">
        <w:rPr>
          <w:lang w:val="en-US"/>
        </w:rPr>
        <w:t>(C.H. Beck, 2020), para 16c.</w:t>
      </w:r>
    </w:p>
  </w:footnote>
  <w:footnote w:id="77">
    <w:p w14:paraId="183163F9" w14:textId="0990FBF4" w:rsidR="00D81F47" w:rsidRPr="006A569D" w:rsidRDefault="00D81F47">
      <w:pPr>
        <w:pStyle w:val="Funotentext"/>
      </w:pPr>
      <w:r w:rsidRPr="006A569D">
        <w:rPr>
          <w:rStyle w:val="Funotenzeichen"/>
        </w:rPr>
        <w:footnoteRef/>
      </w:r>
      <w:r w:rsidRPr="006A569D">
        <w:t xml:space="preserve"> </w:t>
      </w:r>
      <w:r>
        <w:t xml:space="preserve">Notification of 18 February 2025, </w:t>
      </w:r>
      <w:r w:rsidRPr="003D3705">
        <w:rPr>
          <w:lang w:val="en" w:eastAsia="de-DE"/>
        </w:rPr>
        <w:t>Council</w:t>
      </w:r>
      <w:r>
        <w:rPr>
          <w:lang w:val="en" w:eastAsia="de-DE"/>
        </w:rPr>
        <w:t>-D</w:t>
      </w:r>
      <w:r w:rsidRPr="003D3705">
        <w:rPr>
          <w:lang w:val="en" w:eastAsia="de-DE"/>
        </w:rPr>
        <w:t xml:space="preserve">ocument </w:t>
      </w:r>
      <w:r>
        <w:rPr>
          <w:lang w:val="en" w:eastAsia="de-DE"/>
        </w:rPr>
        <w:t xml:space="preserve">No. </w:t>
      </w:r>
      <w:r w:rsidRPr="003D3705">
        <w:rPr>
          <w:lang w:val="en" w:eastAsia="de-DE"/>
        </w:rPr>
        <w:t>6150/2</w:t>
      </w:r>
      <w:r>
        <w:rPr>
          <w:lang w:val="en" w:eastAsia="de-DE"/>
        </w:rPr>
        <w:t>5</w:t>
      </w:r>
      <w:r w:rsidRPr="003D3705">
        <w:rPr>
          <w:lang w:val="en" w:eastAsia="de-DE"/>
        </w:rPr>
        <w:t>.</w:t>
      </w:r>
    </w:p>
  </w:footnote>
  <w:footnote w:id="78">
    <w:p w14:paraId="442E2C0D" w14:textId="0FB79645" w:rsidR="00D81F47" w:rsidRPr="00CB796C" w:rsidRDefault="00D81F47">
      <w:pPr>
        <w:pStyle w:val="Funotentext"/>
        <w:rPr>
          <w:lang w:val="de-DE"/>
        </w:rPr>
      </w:pPr>
      <w:r>
        <w:rPr>
          <w:rStyle w:val="Funotenzeichen"/>
        </w:rPr>
        <w:footnoteRef/>
      </w:r>
      <w:r w:rsidRPr="00AD2A9D">
        <w:rPr>
          <w:lang w:val="en-US"/>
        </w:rPr>
        <w:t xml:space="preserve"> Evaluation Report on Germany on the 9th round of mutual evaluations. </w:t>
      </w:r>
      <w:r w:rsidRPr="00CB796C">
        <w:rPr>
          <w:lang w:val="de-DE"/>
        </w:rPr>
        <w:t>Council-Document 7960/1/20 REV 1, p. 67.</w:t>
      </w:r>
    </w:p>
  </w:footnote>
  <w:footnote w:id="79">
    <w:p w14:paraId="05C87D09" w14:textId="699FF9E1" w:rsidR="00D81F47" w:rsidRPr="004B0863" w:rsidRDefault="00D81F47">
      <w:pPr>
        <w:pStyle w:val="Funotentext"/>
        <w:rPr>
          <w:lang w:val="de-DE"/>
        </w:rPr>
      </w:pPr>
      <w:r>
        <w:rPr>
          <w:rStyle w:val="Funotenzeichen"/>
        </w:rPr>
        <w:footnoteRef/>
      </w:r>
      <w:r w:rsidRPr="00100102">
        <w:rPr>
          <w:lang w:val="de-DE"/>
        </w:rPr>
        <w:t xml:space="preserve"> Appl</w:t>
      </w:r>
      <w:r w:rsidRPr="00CB796C">
        <w:rPr>
          <w:lang w:val="de-DE"/>
        </w:rPr>
        <w:t>,</w:t>
      </w:r>
      <w:r w:rsidRPr="00100102">
        <w:rPr>
          <w:lang w:val="de-DE"/>
        </w:rPr>
        <w:t xml:space="preserve"> </w:t>
      </w:r>
      <w:r w:rsidRPr="00CB796C">
        <w:rPr>
          <w:lang w:val="de-DE"/>
        </w:rPr>
        <w:t>“</w:t>
      </w:r>
      <w:r w:rsidRPr="00100102">
        <w:rPr>
          <w:lang w:val="de-DE"/>
        </w:rPr>
        <w:t xml:space="preserve">§ 451 StPO“ in </w:t>
      </w:r>
      <w:r w:rsidRPr="00100102">
        <w:rPr>
          <w:i/>
          <w:lang w:val="de-DE"/>
        </w:rPr>
        <w:t>Karlsruher Kommentar zur Strafprozessordnung</w:t>
      </w:r>
      <w:r w:rsidRPr="00100102">
        <w:rPr>
          <w:lang w:val="de-DE"/>
        </w:rPr>
        <w:t>, 9th ed</w:t>
      </w:r>
      <w:r w:rsidRPr="00CB796C">
        <w:rPr>
          <w:lang w:val="de-DE"/>
        </w:rPr>
        <w:t>.</w:t>
      </w:r>
      <w:r w:rsidRPr="00100102">
        <w:rPr>
          <w:lang w:val="de-DE"/>
        </w:rPr>
        <w:t xml:space="preserve"> </w:t>
      </w:r>
      <w:r w:rsidRPr="004B0863">
        <w:rPr>
          <w:lang w:val="de-DE"/>
        </w:rPr>
        <w:t>(C.H. Beck, 2023), para 10-11.</w:t>
      </w:r>
    </w:p>
  </w:footnote>
  <w:footnote w:id="80">
    <w:p w14:paraId="7556EBBE" w14:textId="1319D268" w:rsidR="00D81F47" w:rsidRPr="007B40B3" w:rsidRDefault="00D81F47">
      <w:pPr>
        <w:pStyle w:val="Funotentext"/>
      </w:pPr>
      <w:r w:rsidRPr="00392375">
        <w:rPr>
          <w:rStyle w:val="Funotenzeichen"/>
        </w:rPr>
        <w:footnoteRef/>
      </w:r>
      <w:r w:rsidRPr="00392375">
        <w:t xml:space="preserve"> </w:t>
      </w:r>
      <w:r w:rsidRPr="00AC1A88">
        <w:t>See Böse,  “§ 85d” in Grützner/Pötz/Kreß/Gazeas/Brodowski (Eds.), Internationaler Rechtshilfeverkehr in Strafsachen, 3rd ed. (5</w:t>
      </w:r>
      <w:r>
        <w:t>7</w:t>
      </w:r>
      <w:r w:rsidRPr="00AC1A88">
        <w:t xml:space="preserve">th installment, C.F. Müller, </w:t>
      </w:r>
      <w:r>
        <w:t>Jun</w:t>
      </w:r>
      <w:r w:rsidRPr="00AC1A88">
        <w:t>.</w:t>
      </w:r>
      <w:r>
        <w:t xml:space="preserve"> </w:t>
      </w:r>
      <w:r w:rsidRPr="00AC1A88">
        <w:t>202</w:t>
      </w:r>
      <w:r>
        <w:t>4</w:t>
      </w:r>
      <w:r w:rsidRPr="00AC1A88">
        <w:t>), para. 4.</w:t>
      </w:r>
    </w:p>
  </w:footnote>
  <w:footnote w:id="81">
    <w:p w14:paraId="18DD406B" w14:textId="39421E08" w:rsidR="00D81F47" w:rsidRPr="007B40B3" w:rsidRDefault="00D81F47">
      <w:pPr>
        <w:pStyle w:val="Funotentext"/>
      </w:pPr>
      <w:r>
        <w:rPr>
          <w:rStyle w:val="Funotenzeichen"/>
        </w:rPr>
        <w:footnoteRef/>
      </w:r>
      <w:r w:rsidRPr="007B40B3">
        <w:t xml:space="preserve"> Hackner, “§ 90m IRG” in Schomburg/Lagodny, </w:t>
      </w:r>
      <w:r w:rsidRPr="007B40B3">
        <w:rPr>
          <w:i/>
        </w:rPr>
        <w:t>Internationale Rechtshilfe in Strafsachen</w:t>
      </w:r>
      <w:r w:rsidRPr="007B40B3">
        <w:t>, 6th ed.(C.H. Beck, 2020), para 1.</w:t>
      </w:r>
    </w:p>
  </w:footnote>
  <w:footnote w:id="82">
    <w:p w14:paraId="3E45CBC4" w14:textId="013235A4" w:rsidR="00D81F47" w:rsidRPr="00AD2A9D" w:rsidRDefault="00D81F47" w:rsidP="008D2ECC">
      <w:pPr>
        <w:pStyle w:val="Funotentext"/>
        <w:rPr>
          <w:i/>
          <w:lang w:val="en-US"/>
        </w:rPr>
      </w:pPr>
      <w:r>
        <w:rPr>
          <w:rStyle w:val="Funotenzeichen"/>
        </w:rPr>
        <w:footnoteRef/>
      </w:r>
      <w:r w:rsidRPr="00AD2A9D">
        <w:rPr>
          <w:lang w:val="en-US"/>
        </w:rPr>
        <w:t xml:space="preserve"> Section I.6.e) of the circular on the competences in international cooperation in criminal matters in Brandenburg of 4 September 2020, JMBl. 2020, p. 130; sections 1.2.1.5 and 1.2.1.7 of the circular on the competences in international cooperation in criminal matters in Nordrhein-Westfalen of 16 December 2016, JMBl. NRW 2017, p. 74; section 2 No. 5 Regulation on the competences in international cooperation in criminal matters in Thüringen of 30 January 2013, GVBl. 2013, p. 62.</w:t>
      </w:r>
    </w:p>
  </w:footnote>
  <w:footnote w:id="83">
    <w:p w14:paraId="785D02C4" w14:textId="77777777" w:rsidR="00D81F47" w:rsidRPr="0033147B" w:rsidRDefault="00D81F47" w:rsidP="00FC7DC4">
      <w:pPr>
        <w:pStyle w:val="Funotentext"/>
        <w:rPr>
          <w:i/>
          <w:lang w:val="en-GB"/>
        </w:rPr>
      </w:pPr>
      <w:r>
        <w:rPr>
          <w:rStyle w:val="Funotenzeichen"/>
        </w:rPr>
        <w:footnoteRef/>
      </w:r>
      <w:r w:rsidRPr="0033147B">
        <w:rPr>
          <w:lang w:val="en-GB"/>
        </w:rPr>
        <w:t xml:space="preserve"> Section I.6.e) of the circular on the competences in international cooperation in criminal matters in Brandenburg of 4 September 2020, JMBl. 2020, p. 130; sections 1.2.1.5 and 1.2.1.7 of the circular on the competences in international cooperation in criminal matters in Nordrhein-Westfalen of 16 December 2016, JMBl. NRW 2017, p. 74; section 2 No. 5 Regulation on the competences in international cooperation in criminal matters in Thüringen of 30 January 2013, GVBl. 2013, p. 62.</w:t>
      </w:r>
    </w:p>
  </w:footnote>
  <w:footnote w:id="84">
    <w:p w14:paraId="372981A6" w14:textId="641E812C" w:rsidR="00D81F47" w:rsidRPr="00A46CB2" w:rsidRDefault="00D81F47">
      <w:pPr>
        <w:pStyle w:val="Funotentext"/>
      </w:pPr>
      <w:r>
        <w:rPr>
          <w:rStyle w:val="Funotenzeichen"/>
        </w:rPr>
        <w:footnoteRef/>
      </w:r>
      <w:r>
        <w:t xml:space="preserve"> </w:t>
      </w:r>
      <w:r w:rsidRPr="008725B1">
        <w:rPr>
          <w:lang w:val="de-DE"/>
        </w:rPr>
        <w:t xml:space="preserve">Böse, “§ </w:t>
      </w:r>
      <w:r>
        <w:rPr>
          <w:lang w:val="de-DE"/>
        </w:rPr>
        <w:t>85d</w:t>
      </w:r>
      <w:r w:rsidRPr="008725B1">
        <w:rPr>
          <w:lang w:val="de-DE"/>
        </w:rPr>
        <w:t xml:space="preserve">” in Grützner/Pötz/Kreß/Gazeas/Brodowski (Eds.), </w:t>
      </w:r>
      <w:r w:rsidRPr="008725B1">
        <w:rPr>
          <w:i/>
          <w:lang w:val="de-DE"/>
        </w:rPr>
        <w:t>Internationaler Rechtshilfeverkehr in Strafsachen</w:t>
      </w:r>
      <w:r w:rsidRPr="008725B1">
        <w:rPr>
          <w:lang w:val="de-DE"/>
        </w:rPr>
        <w:t xml:space="preserve">, 3rd ed. </w:t>
      </w:r>
      <w:r w:rsidRPr="00EE04F1">
        <w:rPr>
          <w:lang w:val="de-DE"/>
        </w:rPr>
        <w:t>(5</w:t>
      </w:r>
      <w:r>
        <w:rPr>
          <w:lang w:val="de-DE"/>
        </w:rPr>
        <w:t>7th</w:t>
      </w:r>
      <w:r w:rsidRPr="00EE04F1">
        <w:rPr>
          <w:lang w:val="de-DE"/>
        </w:rPr>
        <w:t xml:space="preserve"> instal</w:t>
      </w:r>
      <w:r>
        <w:rPr>
          <w:lang w:val="de-DE"/>
        </w:rPr>
        <w:t>l</w:t>
      </w:r>
      <w:r w:rsidRPr="00EE04F1">
        <w:rPr>
          <w:lang w:val="de-DE"/>
        </w:rPr>
        <w:t xml:space="preserve">ment, C. F. Müller, </w:t>
      </w:r>
      <w:r>
        <w:rPr>
          <w:lang w:val="de-DE"/>
        </w:rPr>
        <w:t>Jun. 2024</w:t>
      </w:r>
      <w:r w:rsidRPr="00EE04F1">
        <w:rPr>
          <w:lang w:val="de-DE"/>
        </w:rPr>
        <w:t>), para</w:t>
      </w:r>
      <w:r>
        <w:rPr>
          <w:lang w:val="de-DE"/>
        </w:rPr>
        <w:t xml:space="preserve"> 4.</w:t>
      </w:r>
    </w:p>
  </w:footnote>
  <w:footnote w:id="85">
    <w:p w14:paraId="7D8354EE" w14:textId="387FB4CB" w:rsidR="00D81F47" w:rsidRPr="00FD6F02" w:rsidRDefault="00D81F47">
      <w:pPr>
        <w:pStyle w:val="Funotentext"/>
      </w:pPr>
      <w:r>
        <w:rPr>
          <w:rStyle w:val="Funotenzeichen"/>
        </w:rPr>
        <w:footnoteRef/>
      </w:r>
      <w:r>
        <w:t xml:space="preserve"> </w:t>
      </w:r>
      <w:r w:rsidRPr="008725B1">
        <w:rPr>
          <w:lang w:val="de-DE"/>
        </w:rPr>
        <w:t xml:space="preserve">See the explanatory memorandum Bundestags-Drucksache 18/4347, p. 146; </w:t>
      </w:r>
      <w:r w:rsidRPr="00066CD0">
        <w:rPr>
          <w:lang w:val="de-DE"/>
        </w:rPr>
        <w:t xml:space="preserve">Bock, “§ 85d“ in Ambos/König/Rackow (Eds.), </w:t>
      </w:r>
      <w:r w:rsidRPr="00066CD0">
        <w:rPr>
          <w:i/>
          <w:lang w:val="de-DE"/>
        </w:rPr>
        <w:t>Rechtshilferecht in Strafsachen</w:t>
      </w:r>
      <w:r w:rsidRPr="00066CD0">
        <w:rPr>
          <w:lang w:val="de-DE"/>
        </w:rPr>
        <w:t xml:space="preserve">, 2nd ed. </w:t>
      </w:r>
      <w:r w:rsidRPr="008725B1">
        <w:rPr>
          <w:lang w:val="de-DE"/>
        </w:rPr>
        <w:t>(Nomos, 2020), chapter 4 para 405</w:t>
      </w:r>
      <w:r>
        <w:rPr>
          <w:lang w:val="de-DE"/>
        </w:rPr>
        <w:t>;</w:t>
      </w:r>
      <w:r w:rsidRPr="008725B1">
        <w:rPr>
          <w:lang w:val="de-DE"/>
        </w:rPr>
        <w:t xml:space="preserve"> Böse, “§ </w:t>
      </w:r>
      <w:r>
        <w:rPr>
          <w:lang w:val="de-DE"/>
        </w:rPr>
        <w:t>85d</w:t>
      </w:r>
      <w:r w:rsidRPr="008725B1">
        <w:rPr>
          <w:lang w:val="de-DE"/>
        </w:rPr>
        <w:t xml:space="preserve">” in Grützner/Pötz/Kreß/Gazeas/Brodowski (Eds.), </w:t>
      </w:r>
      <w:r w:rsidRPr="008725B1">
        <w:rPr>
          <w:i/>
          <w:lang w:val="de-DE"/>
        </w:rPr>
        <w:t>Internationaler Rechtshilfeverkehr in Strafsachen</w:t>
      </w:r>
      <w:r w:rsidRPr="008725B1">
        <w:rPr>
          <w:lang w:val="de-DE"/>
        </w:rPr>
        <w:t xml:space="preserve">, 3rd ed. </w:t>
      </w:r>
      <w:r w:rsidRPr="00EE04F1">
        <w:rPr>
          <w:lang w:val="de-DE"/>
        </w:rPr>
        <w:t>(5</w:t>
      </w:r>
      <w:r>
        <w:rPr>
          <w:lang w:val="de-DE"/>
        </w:rPr>
        <w:t>7th</w:t>
      </w:r>
      <w:r w:rsidRPr="00EE04F1">
        <w:rPr>
          <w:lang w:val="de-DE"/>
        </w:rPr>
        <w:t xml:space="preserve"> instal</w:t>
      </w:r>
      <w:r>
        <w:rPr>
          <w:lang w:val="de-DE"/>
        </w:rPr>
        <w:t>l</w:t>
      </w:r>
      <w:r w:rsidRPr="00EE04F1">
        <w:rPr>
          <w:lang w:val="de-DE"/>
        </w:rPr>
        <w:t xml:space="preserve">ment, C. F. Müller, </w:t>
      </w:r>
      <w:r>
        <w:rPr>
          <w:lang w:val="de-DE"/>
        </w:rPr>
        <w:t>Jun. 2024</w:t>
      </w:r>
      <w:r w:rsidRPr="00EE04F1">
        <w:rPr>
          <w:lang w:val="de-DE"/>
        </w:rPr>
        <w:t>), para</w:t>
      </w:r>
      <w:r>
        <w:rPr>
          <w:lang w:val="de-DE"/>
        </w:rPr>
        <w:t xml:space="preserve"> 4; Hackner</w:t>
      </w:r>
      <w:r w:rsidRPr="00781FDE">
        <w:rPr>
          <w:lang w:val="de-DE"/>
        </w:rPr>
        <w:t>,</w:t>
      </w:r>
      <w:r>
        <w:rPr>
          <w:lang w:val="de-DE"/>
        </w:rPr>
        <w:t xml:space="preserve"> </w:t>
      </w:r>
      <w:r w:rsidRPr="00781FDE">
        <w:rPr>
          <w:lang w:val="de-DE"/>
        </w:rPr>
        <w:t xml:space="preserve">“§ </w:t>
      </w:r>
      <w:r>
        <w:rPr>
          <w:lang w:val="de-DE"/>
        </w:rPr>
        <w:t>85d</w:t>
      </w:r>
      <w:r w:rsidRPr="00781FDE">
        <w:rPr>
          <w:lang w:val="de-DE"/>
        </w:rPr>
        <w:t xml:space="preserve">” in Schomburg/Lagodny (Eds.) </w:t>
      </w:r>
      <w:r w:rsidRPr="00781FDE">
        <w:rPr>
          <w:i/>
          <w:lang w:val="de-DE"/>
        </w:rPr>
        <w:t>Internationale Rechtshilfe in Strafsachen</w:t>
      </w:r>
      <w:r w:rsidRPr="00781FDE">
        <w:rPr>
          <w:lang w:val="de-DE"/>
        </w:rPr>
        <w:t>, 6th ed. (C.H. Beck, 2020), para</w:t>
      </w:r>
      <w:r>
        <w:rPr>
          <w:lang w:val="de-DE"/>
        </w:rPr>
        <w:t xml:space="preserve"> 4.</w:t>
      </w:r>
    </w:p>
  </w:footnote>
  <w:footnote w:id="86">
    <w:p w14:paraId="09C5FC14" w14:textId="2B339080" w:rsidR="00D81F47" w:rsidRPr="00781FDE" w:rsidRDefault="00D81F47">
      <w:pPr>
        <w:pStyle w:val="Funotentext"/>
      </w:pPr>
      <w:r>
        <w:rPr>
          <w:rStyle w:val="Funotenzeichen"/>
        </w:rPr>
        <w:footnoteRef/>
      </w:r>
      <w:r w:rsidRPr="00BE1205">
        <w:t xml:space="preserve"> </w:t>
      </w:r>
      <w:r w:rsidRPr="000D6C55">
        <w:rPr>
          <w:color w:val="000000" w:themeColor="text1"/>
        </w:rPr>
        <w:t xml:space="preserve">Bundestags-Drucksache No. 18/4347, p. 139; </w:t>
      </w:r>
      <w:r>
        <w:t>f</w:t>
      </w:r>
      <w:r w:rsidRPr="00BE1205">
        <w:t xml:space="preserve">or a critical assessment of the gaps in judicial protection: Böse, “§ 85d” in Grützner/Pötz/Kreß/Gazeas/Brodowski (Eds.), </w:t>
      </w:r>
      <w:r w:rsidRPr="00BE1205">
        <w:rPr>
          <w:i/>
        </w:rPr>
        <w:t>Internationaler Rechtshilfeverkehr in Strafsachen</w:t>
      </w:r>
      <w:r w:rsidRPr="00BE1205">
        <w:t xml:space="preserve">, 3rd ed. </w:t>
      </w:r>
      <w:r w:rsidRPr="00B54CE5">
        <w:rPr>
          <w:lang w:val="en-US"/>
        </w:rPr>
        <w:t>(5</w:t>
      </w:r>
      <w:r>
        <w:rPr>
          <w:lang w:val="en-US"/>
        </w:rPr>
        <w:t>7th</w:t>
      </w:r>
      <w:r w:rsidRPr="00B54CE5">
        <w:rPr>
          <w:lang w:val="en-US"/>
        </w:rPr>
        <w:t xml:space="preserve"> installment, C. F. Müller, </w:t>
      </w:r>
      <w:r>
        <w:rPr>
          <w:lang w:val="en-US"/>
        </w:rPr>
        <w:t>Jun. 2024</w:t>
      </w:r>
      <w:r w:rsidRPr="00B54CE5">
        <w:rPr>
          <w:lang w:val="en-US"/>
        </w:rPr>
        <w:t>), para 4.</w:t>
      </w:r>
    </w:p>
  </w:footnote>
  <w:footnote w:id="87">
    <w:p w14:paraId="56E4B1B1" w14:textId="1A3DEAED" w:rsidR="00D81F47" w:rsidRPr="00AC1A88" w:rsidRDefault="00D81F47">
      <w:pPr>
        <w:pStyle w:val="Funotentext"/>
      </w:pPr>
      <w:r>
        <w:rPr>
          <w:rStyle w:val="Funotenzeichen"/>
        </w:rPr>
        <w:footnoteRef/>
      </w:r>
      <w:r>
        <w:t xml:space="preserve"> See section 276 of the draft bill and the explanatory memorandum of the Federal Ministry of Justice, p. 389.</w:t>
      </w:r>
    </w:p>
  </w:footnote>
  <w:footnote w:id="88">
    <w:p w14:paraId="3D9CF430" w14:textId="0C215CAB" w:rsidR="00D81F47" w:rsidRPr="00777A20" w:rsidRDefault="00D81F47" w:rsidP="008725B1">
      <w:pPr>
        <w:pStyle w:val="Funotentext"/>
        <w:rPr>
          <w:lang w:val="en-GB"/>
        </w:rPr>
      </w:pPr>
      <w:r>
        <w:rPr>
          <w:rStyle w:val="Funotenzeichen"/>
        </w:rPr>
        <w:footnoteRef/>
      </w:r>
      <w:r w:rsidRPr="00777A20">
        <w:rPr>
          <w:lang w:val="en-GB"/>
        </w:rPr>
        <w:t xml:space="preserve"> </w:t>
      </w:r>
      <w:r>
        <w:rPr>
          <w:lang w:val="en-GB"/>
        </w:rPr>
        <w:t xml:space="preserve">It is assumed that the central authority has no role in deciding whether to as for judicial cooperation, and if so, which form of judicial cooperation. However, if that assumption does not hold true for your MS, please explain.                                                                                                                                                                                                                                                                                                                                                                                                                                                                                                                                                                                                                                                                                                                                                                                                                                                                                                                                                                                                                                                                                   </w:t>
      </w:r>
    </w:p>
  </w:footnote>
  <w:footnote w:id="89">
    <w:p w14:paraId="6E819A97" w14:textId="32B16696" w:rsidR="00D81F47" w:rsidRPr="0033147B" w:rsidRDefault="00D81F47">
      <w:pPr>
        <w:pStyle w:val="Funotentext"/>
        <w:rPr>
          <w:lang w:val="en-GB"/>
        </w:rPr>
      </w:pPr>
      <w:r>
        <w:rPr>
          <w:rStyle w:val="Funotenzeichen"/>
        </w:rPr>
        <w:footnoteRef/>
      </w:r>
      <w:r w:rsidRPr="0033147B">
        <w:rPr>
          <w:lang w:val="en-GB"/>
        </w:rPr>
        <w:t xml:space="preserve"> Notification of 8 September 2004, Council-Document </w:t>
      </w:r>
      <w:r>
        <w:rPr>
          <w:lang w:val="en-GB"/>
        </w:rPr>
        <w:t xml:space="preserve">No. </w:t>
      </w:r>
      <w:r w:rsidRPr="0033147B">
        <w:rPr>
          <w:lang w:val="en-GB"/>
        </w:rPr>
        <w:t>12180/04, p. 1.</w:t>
      </w:r>
    </w:p>
  </w:footnote>
  <w:footnote w:id="90">
    <w:p w14:paraId="6391D017" w14:textId="556B7463" w:rsidR="00D81F47" w:rsidRPr="0033147B" w:rsidRDefault="00D81F47">
      <w:pPr>
        <w:pStyle w:val="Funotentext"/>
        <w:rPr>
          <w:lang w:val="en-GB"/>
        </w:rPr>
      </w:pPr>
      <w:r>
        <w:rPr>
          <w:rStyle w:val="Funotenzeichen"/>
        </w:rPr>
        <w:footnoteRef/>
      </w:r>
      <w:r w:rsidRPr="0033147B">
        <w:rPr>
          <w:lang w:val="en-GB"/>
        </w:rPr>
        <w:t xml:space="preserve"> N</w:t>
      </w:r>
      <w:r>
        <w:rPr>
          <w:lang w:val="en-GB"/>
        </w:rPr>
        <w:t>otification of 14 March 2017, p. 3.</w:t>
      </w:r>
    </w:p>
  </w:footnote>
  <w:footnote w:id="91">
    <w:p w14:paraId="0CCB72AB" w14:textId="2B8ED5BE" w:rsidR="00D81F47" w:rsidRPr="00F13F4E" w:rsidRDefault="00D81F47" w:rsidP="00F13F4E">
      <w:pPr>
        <w:pStyle w:val="Funotentext"/>
      </w:pPr>
      <w:r>
        <w:rPr>
          <w:rStyle w:val="Funotenzeichen"/>
        </w:rPr>
        <w:footnoteRef/>
      </w:r>
      <w:r>
        <w:t xml:space="preserve"> Notification of 18 February 2025, </w:t>
      </w:r>
      <w:r w:rsidRPr="00B56E49">
        <w:rPr>
          <w:lang w:val="en" w:eastAsia="de-DE"/>
        </w:rPr>
        <w:t>Council</w:t>
      </w:r>
      <w:r>
        <w:rPr>
          <w:lang w:val="en" w:eastAsia="de-DE"/>
        </w:rPr>
        <w:t>-D</w:t>
      </w:r>
      <w:r w:rsidRPr="00B56E49">
        <w:rPr>
          <w:lang w:val="en" w:eastAsia="de-DE"/>
        </w:rPr>
        <w:t xml:space="preserve">ocument </w:t>
      </w:r>
      <w:r>
        <w:rPr>
          <w:lang w:val="en" w:eastAsia="de-DE"/>
        </w:rPr>
        <w:t xml:space="preserve">No. </w:t>
      </w:r>
      <w:r w:rsidRPr="00B56E49">
        <w:rPr>
          <w:lang w:val="en" w:eastAsia="de-DE"/>
        </w:rPr>
        <w:t>6150/25.</w:t>
      </w:r>
    </w:p>
  </w:footnote>
  <w:footnote w:id="92">
    <w:p w14:paraId="5AFC6174" w14:textId="7ED6096F" w:rsidR="00D81F47" w:rsidRPr="003D3705" w:rsidRDefault="00D81F47" w:rsidP="007D78D2">
      <w:pPr>
        <w:pStyle w:val="HTMLVorformatiert"/>
        <w:rPr>
          <w:rFonts w:ascii="Times New Roman" w:hAnsi="Times New Roman"/>
          <w:lang w:val="en-US"/>
        </w:rPr>
      </w:pPr>
      <w:r w:rsidRPr="007D78D2">
        <w:rPr>
          <w:rStyle w:val="Funotenzeichen"/>
          <w:rFonts w:ascii="Times New Roman" w:hAnsi="Times New Roman"/>
        </w:rPr>
        <w:footnoteRef/>
      </w:r>
      <w:r w:rsidRPr="007D78D2">
        <w:rPr>
          <w:rFonts w:ascii="Times New Roman" w:hAnsi="Times New Roman"/>
        </w:rPr>
        <w:t xml:space="preserve"> </w:t>
      </w:r>
      <w:r>
        <w:rPr>
          <w:rFonts w:ascii="Times New Roman" w:hAnsi="Times New Roman"/>
          <w:lang w:val="en-US"/>
        </w:rPr>
        <w:t>T</w:t>
      </w:r>
      <w:r w:rsidRPr="007D78D2">
        <w:rPr>
          <w:rFonts w:ascii="Times New Roman" w:hAnsi="Times New Roman"/>
          <w:lang w:val="en-US"/>
        </w:rPr>
        <w:t>he Public Prosecutor General at the Federal Court of Justice serves as the central authority for EAWs issued</w:t>
      </w:r>
      <w:r>
        <w:rPr>
          <w:rFonts w:ascii="Times New Roman" w:hAnsi="Times New Roman"/>
          <w:lang w:val="en-US"/>
        </w:rPr>
        <w:t xml:space="preserve"> </w:t>
      </w:r>
      <w:r w:rsidRPr="007D78D2">
        <w:rPr>
          <w:rFonts w:ascii="Times New Roman" w:hAnsi="Times New Roman"/>
          <w:lang w:val="en-US"/>
        </w:rPr>
        <w:t>by the Federal Court of Justice</w:t>
      </w:r>
      <w:r>
        <w:rPr>
          <w:rFonts w:ascii="Times New Roman" w:hAnsi="Times New Roman"/>
          <w:lang w:val="en-US"/>
        </w:rPr>
        <w:t>, while t</w:t>
      </w:r>
      <w:r w:rsidRPr="007D78D2">
        <w:rPr>
          <w:rFonts w:ascii="Times New Roman" w:hAnsi="Times New Roman"/>
          <w:lang w:val="en-US"/>
        </w:rPr>
        <w:t xml:space="preserve">he public prosecution offices </w:t>
      </w:r>
      <w:r>
        <w:rPr>
          <w:rFonts w:ascii="Times New Roman" w:hAnsi="Times New Roman"/>
          <w:lang w:val="en-US"/>
        </w:rPr>
        <w:t xml:space="preserve">having local jurisdiction </w:t>
      </w:r>
      <w:r w:rsidRPr="007D78D2">
        <w:rPr>
          <w:rFonts w:ascii="Times New Roman" w:hAnsi="Times New Roman"/>
          <w:lang w:val="en-US"/>
        </w:rPr>
        <w:t>at the higher regional courts and at the regional courts act as the central authority for EAWs issued by the</w:t>
      </w:r>
      <w:r>
        <w:rPr>
          <w:rFonts w:ascii="Times New Roman" w:hAnsi="Times New Roman"/>
          <w:lang w:val="en-US"/>
        </w:rPr>
        <w:t xml:space="preserve">ir respective </w:t>
      </w:r>
      <w:r w:rsidRPr="007D78D2">
        <w:rPr>
          <w:rFonts w:ascii="Times New Roman" w:hAnsi="Times New Roman"/>
          <w:lang w:val="en-US"/>
        </w:rPr>
        <w:t>courts</w:t>
      </w:r>
      <w:r>
        <w:rPr>
          <w:rFonts w:ascii="Times New Roman" w:hAnsi="Times New Roman"/>
          <w:lang w:val="en-US"/>
        </w:rPr>
        <w:t>.</w:t>
      </w:r>
    </w:p>
  </w:footnote>
  <w:footnote w:id="93">
    <w:p w14:paraId="62251B39" w14:textId="76ECBF72" w:rsidR="00D81F47" w:rsidRPr="0033147B" w:rsidRDefault="00D81F47">
      <w:pPr>
        <w:pStyle w:val="Funotentext"/>
        <w:rPr>
          <w:lang w:val="en-GB"/>
        </w:rPr>
      </w:pPr>
      <w:r>
        <w:rPr>
          <w:rStyle w:val="Funotenzeichen"/>
        </w:rPr>
        <w:footnoteRef/>
      </w:r>
      <w:r w:rsidRPr="0033147B">
        <w:rPr>
          <w:lang w:val="en-GB"/>
        </w:rPr>
        <w:t xml:space="preserve"> Public Prosecutor’s Office </w:t>
      </w:r>
      <w:r>
        <w:rPr>
          <w:lang w:val="en-GB"/>
        </w:rPr>
        <w:t>III</w:t>
      </w:r>
      <w:r w:rsidRPr="0033147B">
        <w:rPr>
          <w:lang w:val="en-GB"/>
        </w:rPr>
        <w:t xml:space="preserve"> (interview</w:t>
      </w:r>
      <w:r>
        <w:rPr>
          <w:lang w:val="en-US"/>
        </w:rPr>
        <w:t xml:space="preserve">). </w:t>
      </w:r>
    </w:p>
  </w:footnote>
  <w:footnote w:id="94">
    <w:p w14:paraId="3742B707" w14:textId="283DDE16" w:rsidR="00D81F47" w:rsidRPr="00CB796C" w:rsidRDefault="00D81F47">
      <w:pPr>
        <w:pStyle w:val="Funotentext"/>
        <w:rPr>
          <w:lang w:val="en-US"/>
        </w:rPr>
      </w:pPr>
      <w:r>
        <w:rPr>
          <w:rStyle w:val="Funotenzeichen"/>
        </w:rPr>
        <w:footnoteRef/>
      </w:r>
      <w:r w:rsidRPr="0033147B">
        <w:rPr>
          <w:lang w:val="en-GB"/>
        </w:rPr>
        <w:t xml:space="preserve"> </w:t>
      </w:r>
      <w:r w:rsidRPr="000427FA">
        <w:rPr>
          <w:lang w:val="en-US"/>
        </w:rPr>
        <w:t xml:space="preserve">Public Prosecutor’s Office </w:t>
      </w:r>
      <w:r>
        <w:rPr>
          <w:lang w:val="en-US"/>
        </w:rPr>
        <w:t>III</w:t>
      </w:r>
      <w:r w:rsidRPr="000427FA">
        <w:rPr>
          <w:lang w:val="en-US"/>
        </w:rPr>
        <w:t xml:space="preserve"> (interview</w:t>
      </w:r>
      <w:r>
        <w:rPr>
          <w:lang w:val="en-US"/>
        </w:rPr>
        <w:t xml:space="preserve">); </w:t>
      </w:r>
      <w:r w:rsidRPr="000427FA">
        <w:rPr>
          <w:lang w:val="en-US"/>
        </w:rPr>
        <w:t xml:space="preserve">Public Prosecutor’s Office </w:t>
      </w:r>
      <w:r>
        <w:rPr>
          <w:lang w:val="en-US"/>
        </w:rPr>
        <w:t>I</w:t>
      </w:r>
      <w:r w:rsidRPr="000427FA">
        <w:rPr>
          <w:lang w:val="en-US"/>
        </w:rPr>
        <w:t xml:space="preserve"> (interview</w:t>
      </w:r>
      <w:r>
        <w:rPr>
          <w:lang w:val="en-US"/>
        </w:rPr>
        <w:t xml:space="preserve">); </w:t>
      </w:r>
      <w:r w:rsidRPr="000427FA">
        <w:rPr>
          <w:lang w:val="en-US"/>
        </w:rPr>
        <w:t>Public Prosecutor’s Office</w:t>
      </w:r>
      <w:r>
        <w:rPr>
          <w:lang w:val="en-US"/>
        </w:rPr>
        <w:t xml:space="preserve"> II</w:t>
      </w:r>
      <w:r w:rsidRPr="000427FA">
        <w:rPr>
          <w:lang w:val="en-US"/>
        </w:rPr>
        <w:t xml:space="preserve"> (intervie</w:t>
      </w:r>
      <w:r>
        <w:rPr>
          <w:lang w:val="en-US"/>
        </w:rPr>
        <w:t>w); Office of the Prosecutor General (interview).</w:t>
      </w:r>
    </w:p>
  </w:footnote>
  <w:footnote w:id="95">
    <w:p w14:paraId="06E28929" w14:textId="687DB07B" w:rsidR="00D81F47" w:rsidRPr="0033147B" w:rsidRDefault="00D81F47">
      <w:pPr>
        <w:pStyle w:val="Funotentext"/>
        <w:rPr>
          <w:lang w:val="en-GB"/>
        </w:rPr>
      </w:pPr>
      <w:r>
        <w:rPr>
          <w:rStyle w:val="Funotenzeichen"/>
        </w:rPr>
        <w:footnoteRef/>
      </w:r>
      <w:r w:rsidRPr="0033147B">
        <w:rPr>
          <w:lang w:val="en-GB"/>
        </w:rPr>
        <w:t xml:space="preserve"> </w:t>
      </w:r>
      <w:r>
        <w:rPr>
          <w:lang w:val="en-GB"/>
        </w:rPr>
        <w:t xml:space="preserve">State’s </w:t>
      </w:r>
      <w:r>
        <w:rPr>
          <w:lang w:val="en-US"/>
        </w:rPr>
        <w:t>Ministry of Justice (interview).</w:t>
      </w:r>
    </w:p>
  </w:footnote>
  <w:footnote w:id="96">
    <w:p w14:paraId="6CACFA1E" w14:textId="38E84B41" w:rsidR="00D81F47" w:rsidRPr="0033147B" w:rsidRDefault="00D81F47">
      <w:pPr>
        <w:pStyle w:val="Funotentext"/>
        <w:rPr>
          <w:lang w:val="en-GB"/>
        </w:rPr>
      </w:pPr>
      <w:r>
        <w:rPr>
          <w:rStyle w:val="Funotenzeichen"/>
        </w:rPr>
        <w:footnoteRef/>
      </w:r>
      <w:r w:rsidRPr="0033147B">
        <w:rPr>
          <w:lang w:val="en-GB"/>
        </w:rPr>
        <w:t xml:space="preserve"> District Court</w:t>
      </w:r>
      <w:r>
        <w:rPr>
          <w:lang w:val="en-US"/>
        </w:rPr>
        <w:t xml:space="preserve"> (interview)</w:t>
      </w:r>
      <w:r w:rsidRPr="0033147B">
        <w:rPr>
          <w:lang w:val="en-GB"/>
        </w:rPr>
        <w:t>.</w:t>
      </w:r>
    </w:p>
  </w:footnote>
  <w:footnote w:id="97">
    <w:p w14:paraId="64536DD6" w14:textId="70A144BF" w:rsidR="00D81F47" w:rsidRPr="00AD2A9D" w:rsidRDefault="00D81F47">
      <w:pPr>
        <w:pStyle w:val="Funotentext"/>
        <w:rPr>
          <w:lang w:val="en-US"/>
        </w:rPr>
      </w:pPr>
      <w:r>
        <w:rPr>
          <w:rStyle w:val="Funotenzeichen"/>
        </w:rPr>
        <w:footnoteRef/>
      </w:r>
      <w:r w:rsidRPr="0033147B">
        <w:rPr>
          <w:lang w:val="en-GB"/>
        </w:rPr>
        <w:t xml:space="preserve"> </w:t>
      </w:r>
      <w:r w:rsidRPr="00AD2A9D">
        <w:rPr>
          <w:lang w:val="en-US"/>
        </w:rPr>
        <w:t>District Court</w:t>
      </w:r>
      <w:r>
        <w:rPr>
          <w:lang w:val="en-US"/>
        </w:rPr>
        <w:t xml:space="preserve"> (interview).</w:t>
      </w:r>
    </w:p>
  </w:footnote>
  <w:footnote w:id="98">
    <w:p w14:paraId="07BD70BC" w14:textId="1CDEC79A" w:rsidR="00D81F47" w:rsidRPr="00CB796C" w:rsidRDefault="00D81F47">
      <w:pPr>
        <w:pStyle w:val="Funotentext"/>
        <w:rPr>
          <w:lang w:val="en-US"/>
        </w:rPr>
      </w:pPr>
      <w:r>
        <w:rPr>
          <w:rStyle w:val="Funotenzeichen"/>
        </w:rPr>
        <w:footnoteRef/>
      </w:r>
      <w:r w:rsidRPr="0033147B">
        <w:rPr>
          <w:lang w:val="en-GB"/>
        </w:rPr>
        <w:t xml:space="preserve"> </w:t>
      </w:r>
      <w:r w:rsidRPr="00672ED7">
        <w:rPr>
          <w:lang w:val="it-IT"/>
        </w:rPr>
        <w:t>Federal Ministry of Justice (interview)</w:t>
      </w:r>
      <w:r>
        <w:rPr>
          <w:lang w:val="en-US"/>
        </w:rPr>
        <w:t xml:space="preserve">; </w:t>
      </w:r>
      <w:r w:rsidRPr="000427FA">
        <w:rPr>
          <w:lang w:val="en-US"/>
        </w:rPr>
        <w:t xml:space="preserve">Public Prosecutor’s Office </w:t>
      </w:r>
      <w:r>
        <w:rPr>
          <w:lang w:val="en-US"/>
        </w:rPr>
        <w:t>I</w:t>
      </w:r>
      <w:r w:rsidRPr="000427FA">
        <w:rPr>
          <w:lang w:val="en-US"/>
        </w:rPr>
        <w:t xml:space="preserve"> (interview</w:t>
      </w:r>
      <w:r>
        <w:rPr>
          <w:lang w:val="en-US"/>
        </w:rPr>
        <w:t xml:space="preserve">); </w:t>
      </w:r>
      <w:r w:rsidRPr="000427FA">
        <w:rPr>
          <w:lang w:val="en-US"/>
        </w:rPr>
        <w:t xml:space="preserve">Public Prosecutor’s Office </w:t>
      </w:r>
      <w:r>
        <w:rPr>
          <w:lang w:val="en-US"/>
        </w:rPr>
        <w:t>II</w:t>
      </w:r>
      <w:r w:rsidRPr="000427FA">
        <w:rPr>
          <w:lang w:val="en-US"/>
        </w:rPr>
        <w:t xml:space="preserve"> (intervie</w:t>
      </w:r>
      <w:r>
        <w:rPr>
          <w:lang w:val="en-US"/>
        </w:rPr>
        <w:t>w)</w:t>
      </w:r>
      <w:r w:rsidRPr="00CB796C">
        <w:rPr>
          <w:lang w:val="en-US"/>
        </w:rPr>
        <w:t>.</w:t>
      </w:r>
    </w:p>
  </w:footnote>
  <w:footnote w:id="99">
    <w:p w14:paraId="12A57F30" w14:textId="0073DADD" w:rsidR="00D81F47" w:rsidRPr="00B117AE" w:rsidRDefault="00D81F47">
      <w:pPr>
        <w:pStyle w:val="Funotentext"/>
      </w:pPr>
      <w:r>
        <w:rPr>
          <w:rStyle w:val="Funotenzeichen"/>
        </w:rPr>
        <w:footnoteRef/>
      </w:r>
      <w:r>
        <w:t xml:space="preserve"> </w:t>
      </w:r>
      <w:r w:rsidRPr="0002237E">
        <w:rPr>
          <w:lang w:val="en-US"/>
        </w:rPr>
        <w:t>Of course, once the s</w:t>
      </w:r>
      <w:r>
        <w:rPr>
          <w:lang w:val="en-US"/>
        </w:rPr>
        <w:t xml:space="preserve">entence is final it may be necessary to order the arrest and detention of the person concerned to ensure the enforcement of the sentence, but this concerns the enforcement stage, not the trial stage. </w:t>
      </w:r>
    </w:p>
  </w:footnote>
  <w:footnote w:id="100">
    <w:p w14:paraId="0D7C8379" w14:textId="77777777" w:rsidR="00D81F47" w:rsidRPr="00353C2A" w:rsidRDefault="00D81F47" w:rsidP="00777A20">
      <w:pPr>
        <w:pStyle w:val="Funotentext"/>
        <w:jc w:val="both"/>
        <w:rPr>
          <w:lang w:val="en-GB"/>
        </w:rPr>
      </w:pPr>
      <w:r w:rsidRPr="00353C2A">
        <w:rPr>
          <w:rStyle w:val="Funotenzeichen"/>
          <w:rFonts w:eastAsiaTheme="majorEastAsia"/>
        </w:rPr>
        <w:footnoteRef/>
      </w:r>
      <w:r w:rsidRPr="00353C2A">
        <w:rPr>
          <w:lang w:val="en-GB"/>
        </w:rPr>
        <w:t xml:space="preserve"> Order of the instruments in accordance with sections 1.1 and 1.2.</w:t>
      </w:r>
    </w:p>
  </w:footnote>
  <w:footnote w:id="101">
    <w:p w14:paraId="7CCC65D6" w14:textId="77777777" w:rsidR="00D81F47" w:rsidRPr="00353C2A" w:rsidRDefault="00D81F47" w:rsidP="00777A20">
      <w:pPr>
        <w:pStyle w:val="Funotentext"/>
        <w:jc w:val="both"/>
        <w:rPr>
          <w:lang w:val="en-GB"/>
        </w:rPr>
      </w:pPr>
      <w:r w:rsidRPr="00353C2A">
        <w:rPr>
          <w:rStyle w:val="Funotenzeichen"/>
          <w:rFonts w:eastAsiaTheme="majorEastAsia"/>
        </w:rPr>
        <w:footnoteRef/>
      </w:r>
      <w:r w:rsidRPr="00353C2A">
        <w:rPr>
          <w:lang w:val="en-GB"/>
        </w:rPr>
        <w:t xml:space="preserve"> Considerations with regard to national law and arrangements are relevant when dealing with the application of instruments </w:t>
      </w:r>
      <w:r w:rsidRPr="00353C2A">
        <w:rPr>
          <w:i/>
          <w:iCs/>
          <w:lang w:val="en-GB"/>
        </w:rPr>
        <w:t>in concreto</w:t>
      </w:r>
      <w:r w:rsidRPr="00353C2A">
        <w:rPr>
          <w:lang w:val="en-GB"/>
        </w:rPr>
        <w:t>, therefore in Chapter 2.2 and 2.3.</w:t>
      </w:r>
    </w:p>
  </w:footnote>
  <w:footnote w:id="102">
    <w:p w14:paraId="486BBB60" w14:textId="77777777" w:rsidR="00D81F47" w:rsidRPr="00353C2A" w:rsidRDefault="00D81F47" w:rsidP="00777A20">
      <w:pPr>
        <w:pStyle w:val="Funotentext"/>
        <w:jc w:val="both"/>
        <w:rPr>
          <w:lang w:val="en-GB"/>
        </w:rPr>
      </w:pPr>
      <w:r w:rsidRPr="00353C2A">
        <w:rPr>
          <w:rStyle w:val="Funotenzeichen"/>
          <w:rFonts w:eastAsiaTheme="majorEastAsia"/>
        </w:rPr>
        <w:footnoteRef/>
      </w:r>
      <w:r w:rsidRPr="00353C2A">
        <w:rPr>
          <w:lang w:val="en-GB"/>
        </w:rPr>
        <w:t xml:space="preserve"> See also </w:t>
      </w:r>
      <w:r w:rsidRPr="00353C2A">
        <w:rPr>
          <w:i/>
          <w:iCs/>
          <w:lang w:val="en-GB"/>
        </w:rPr>
        <w:t>MR2.0: some preliminary explorations</w:t>
      </w:r>
      <w:r w:rsidRPr="00353C2A">
        <w:rPr>
          <w:lang w:val="en-GB"/>
        </w:rPr>
        <w:t>, p. 5-9.</w:t>
      </w:r>
    </w:p>
  </w:footnote>
  <w:footnote w:id="103">
    <w:p w14:paraId="68003CCC" w14:textId="77777777" w:rsidR="00D81F47" w:rsidRPr="00353C2A" w:rsidRDefault="00D81F47" w:rsidP="00777A20">
      <w:pPr>
        <w:pStyle w:val="Funotentext"/>
        <w:jc w:val="both"/>
        <w:rPr>
          <w:lang w:val="en-GB"/>
        </w:rPr>
      </w:pPr>
      <w:r w:rsidRPr="00353C2A">
        <w:rPr>
          <w:rStyle w:val="Funotenzeichen"/>
          <w:rFonts w:eastAsiaTheme="majorEastAsia"/>
        </w:rPr>
        <w:footnoteRef/>
      </w:r>
      <w:r w:rsidRPr="00353C2A">
        <w:rPr>
          <w:lang w:val="en-GB"/>
        </w:rPr>
        <w:t xml:space="preserve"> With regard to national sources: only insofar as they concern the applicability/the scope of the EU instrument.</w:t>
      </w:r>
    </w:p>
  </w:footnote>
  <w:footnote w:id="104">
    <w:p w14:paraId="6C293FAA" w14:textId="430FCC0E" w:rsidR="00D81F47" w:rsidRPr="00353C2A" w:rsidRDefault="00D81F47" w:rsidP="00777A20">
      <w:pPr>
        <w:pStyle w:val="Funotentext"/>
        <w:jc w:val="both"/>
        <w:rPr>
          <w:lang w:val="en-GB"/>
        </w:rPr>
      </w:pPr>
      <w:r w:rsidRPr="00353C2A">
        <w:rPr>
          <w:rStyle w:val="Funotenzeichen"/>
          <w:rFonts w:eastAsiaTheme="majorEastAsia"/>
        </w:rPr>
        <w:footnoteRef/>
      </w:r>
      <w:r w:rsidRPr="00353C2A">
        <w:rPr>
          <w:lang w:val="en-GB"/>
        </w:rPr>
        <w:t xml:space="preserve"> There is a third stage that precedes the two substages mentioned but that substage is out of scope (substage 0: the national authorities are aware that an offence has been committed but the probable author of that offence is unknown as yet). See </w:t>
      </w:r>
      <w:r>
        <w:rPr>
          <w:lang w:val="en-GB"/>
        </w:rPr>
        <w:t>the introduction to Chapter 1.</w:t>
      </w:r>
    </w:p>
  </w:footnote>
  <w:footnote w:id="105">
    <w:p w14:paraId="0021FCE2" w14:textId="54F5CCC0" w:rsidR="00D81F47" w:rsidRPr="00777A20" w:rsidRDefault="00D81F47" w:rsidP="00774F0D">
      <w:pPr>
        <w:pStyle w:val="Funotentext"/>
        <w:jc w:val="both"/>
        <w:rPr>
          <w:lang w:val="en-GB"/>
        </w:rPr>
      </w:pPr>
      <w:r>
        <w:rPr>
          <w:rStyle w:val="Funotenzeichen"/>
        </w:rPr>
        <w:footnoteRef/>
      </w:r>
      <w:r w:rsidRPr="00777A20">
        <w:rPr>
          <w:lang w:val="en-GB"/>
        </w:rPr>
        <w:t xml:space="preserve"> </w:t>
      </w:r>
      <w:r w:rsidRPr="007A3DAF">
        <w:rPr>
          <w:lang w:val="en-GB"/>
        </w:rPr>
        <w:t xml:space="preserve">It may </w:t>
      </w:r>
      <w:r>
        <w:rPr>
          <w:lang w:val="en-GB"/>
        </w:rPr>
        <w:t xml:space="preserve">be </w:t>
      </w:r>
      <w:r w:rsidRPr="007A3DAF">
        <w:rPr>
          <w:lang w:val="en-GB"/>
        </w:rPr>
        <w:t xml:space="preserve">that according to the law </w:t>
      </w:r>
      <w:r>
        <w:rPr>
          <w:lang w:val="en-GB"/>
        </w:rPr>
        <w:t xml:space="preserve">of some </w:t>
      </w:r>
      <w:r w:rsidRPr="007A3DAF">
        <w:rPr>
          <w:lang w:val="en-GB"/>
        </w:rPr>
        <w:t>MS a reasonable suspicion of a sufficiently serious offence does not suffice for ordering detention on remand. In the Netherland</w:t>
      </w:r>
      <w:r>
        <w:rPr>
          <w:lang w:val="en-GB"/>
        </w:rPr>
        <w:t>s</w:t>
      </w:r>
      <w:r w:rsidRPr="007A3DAF">
        <w:rPr>
          <w:lang w:val="en-GB"/>
        </w:rPr>
        <w:t>, for instance, there must be a “serious suspicion”</w:t>
      </w:r>
      <w:r>
        <w:rPr>
          <w:lang w:val="en-GB"/>
        </w:rPr>
        <w:t xml:space="preserve"> (“ernstige bezwaren”)</w:t>
      </w:r>
      <w:r w:rsidRPr="007A3DAF">
        <w:rPr>
          <w:lang w:val="en-GB"/>
        </w:rPr>
        <w:t xml:space="preserve"> which is more than a reasonable suspicion.</w:t>
      </w:r>
    </w:p>
  </w:footnote>
  <w:footnote w:id="106">
    <w:p w14:paraId="1D1327BE" w14:textId="2C5C9536" w:rsidR="00D81F47" w:rsidRPr="0033147B" w:rsidRDefault="00D81F47">
      <w:pPr>
        <w:pStyle w:val="Funotentext"/>
        <w:rPr>
          <w:lang w:val="en-GB"/>
        </w:rPr>
      </w:pPr>
      <w:r>
        <w:rPr>
          <w:rStyle w:val="Funotenzeichen"/>
        </w:rPr>
        <w:footnoteRef/>
      </w:r>
      <w:r w:rsidRPr="0033147B">
        <w:rPr>
          <w:lang w:val="en-GB"/>
        </w:rPr>
        <w:t xml:space="preserve"> See the explanatory memorandum to the draft on the transposition of FD 2009/829/JHA into German law, Bundestags-Drucksache 18/4894, p. 16.</w:t>
      </w:r>
    </w:p>
  </w:footnote>
  <w:footnote w:id="107">
    <w:p w14:paraId="50F9BDFA" w14:textId="53CB00E1" w:rsidR="00D81F47" w:rsidRPr="0033147B" w:rsidRDefault="00D81F47">
      <w:pPr>
        <w:pStyle w:val="Funotentext"/>
        <w:rPr>
          <w:lang w:val="en-GB"/>
        </w:rPr>
      </w:pPr>
      <w:r>
        <w:rPr>
          <w:rStyle w:val="Funotenzeichen"/>
        </w:rPr>
        <w:footnoteRef/>
      </w:r>
      <w:r w:rsidRPr="0033147B">
        <w:rPr>
          <w:lang w:val="en-GB"/>
        </w:rPr>
        <w:t xml:space="preserve"> See the explanatory memorandum, ibid, p. 16.</w:t>
      </w:r>
    </w:p>
  </w:footnote>
  <w:footnote w:id="108">
    <w:p w14:paraId="7FF98993" w14:textId="615EF080" w:rsidR="00D81F47" w:rsidRPr="00EE04F1" w:rsidRDefault="00D81F47" w:rsidP="006C17C7">
      <w:pPr>
        <w:pStyle w:val="Funotentext"/>
        <w:rPr>
          <w:lang w:val="de-DE"/>
        </w:rPr>
      </w:pPr>
      <w:r>
        <w:rPr>
          <w:rStyle w:val="Funotenzeichen"/>
        </w:rPr>
        <w:footnoteRef/>
      </w:r>
      <w:r w:rsidRPr="00EE04F1">
        <w:rPr>
          <w:lang w:val="de-DE"/>
        </w:rPr>
        <w:t xml:space="preserve"> Morgenstern, “Die Europäische Überwachungsanordnung - Überkomplexes Ungetüm oder sinnvolles Instrument zur Untersuchungshaftvermeidung von Ausländern?</w:t>
      </w:r>
      <w:r>
        <w:rPr>
          <w:lang w:val="de-DE"/>
        </w:rPr>
        <w:t>“, (</w:t>
      </w:r>
      <w:r w:rsidRPr="00EE04F1">
        <w:rPr>
          <w:lang w:val="de-DE"/>
        </w:rPr>
        <w:t>2014</w:t>
      </w:r>
      <w:r>
        <w:rPr>
          <w:lang w:val="de-DE"/>
        </w:rPr>
        <w:t>)</w:t>
      </w:r>
      <w:r w:rsidRPr="00EE04F1">
        <w:rPr>
          <w:lang w:val="de-DE"/>
        </w:rPr>
        <w:t xml:space="preserve"> </w:t>
      </w:r>
      <w:r w:rsidRPr="00EE04F1">
        <w:rPr>
          <w:i/>
          <w:lang w:val="de-DE"/>
        </w:rPr>
        <w:t>Zeitschrift für internationale Strafrechtsdogmatik</w:t>
      </w:r>
      <w:r>
        <w:rPr>
          <w:i/>
          <w:lang w:val="de-DE"/>
        </w:rPr>
        <w:t>,</w:t>
      </w:r>
      <w:r w:rsidRPr="00EE04F1">
        <w:rPr>
          <w:i/>
          <w:lang w:val="de-DE"/>
        </w:rPr>
        <w:t xml:space="preserve"> </w:t>
      </w:r>
      <w:r w:rsidRPr="00EE04F1">
        <w:rPr>
          <w:lang w:val="de-DE"/>
        </w:rPr>
        <w:t>216 (</w:t>
      </w:r>
      <w:r>
        <w:rPr>
          <w:lang w:val="de-DE"/>
        </w:rPr>
        <w:t xml:space="preserve">at </w:t>
      </w:r>
      <w:r w:rsidRPr="00EE04F1">
        <w:rPr>
          <w:lang w:val="de-DE"/>
        </w:rPr>
        <w:t>226-227: ‘Stufenmodell’ and ‘Substitutionmodell’).</w:t>
      </w:r>
    </w:p>
  </w:footnote>
  <w:footnote w:id="109">
    <w:p w14:paraId="4DA03C2B" w14:textId="165CCCEA" w:rsidR="00D81F47" w:rsidRPr="00EE04F1" w:rsidRDefault="00D81F47">
      <w:pPr>
        <w:pStyle w:val="Funotentext"/>
        <w:rPr>
          <w:lang w:val="de-DE"/>
        </w:rPr>
      </w:pPr>
      <w:r>
        <w:rPr>
          <w:rStyle w:val="Funotenzeichen"/>
        </w:rPr>
        <w:footnoteRef/>
      </w:r>
      <w:r w:rsidRPr="00EE04F1">
        <w:rPr>
          <w:lang w:val="de-DE"/>
        </w:rPr>
        <w:t xml:space="preserve"> Council</w:t>
      </w:r>
      <w:r>
        <w:rPr>
          <w:lang w:val="de-DE"/>
        </w:rPr>
        <w:t>-</w:t>
      </w:r>
      <w:r w:rsidRPr="00EE04F1">
        <w:rPr>
          <w:lang w:val="de-DE"/>
        </w:rPr>
        <w:t xml:space="preserve">Document No. 12106/16; for corresponding notifications of other MS see </w:t>
      </w:r>
      <w:r w:rsidRPr="00CB796C">
        <w:rPr>
          <w:iCs/>
          <w:lang w:val="de-DE"/>
        </w:rPr>
        <w:t>Morgenstern</w:t>
      </w:r>
      <w:r w:rsidRPr="00EE04F1">
        <w:rPr>
          <w:iCs/>
          <w:lang w:val="de-DE"/>
        </w:rPr>
        <w:t>,</w:t>
      </w:r>
      <w:r w:rsidRPr="00EE04F1">
        <w:rPr>
          <w:lang w:val="de-DE"/>
        </w:rPr>
        <w:t xml:space="preserve"> “Die Europäische Überwachungsanordnung - Überkomplexes Ungetüm oder sinnvolles Instrument zur Untersuchungshaftvermeidung von Ausländern?</w:t>
      </w:r>
      <w:r>
        <w:rPr>
          <w:lang w:val="de-DE"/>
        </w:rPr>
        <w:t>“, (</w:t>
      </w:r>
      <w:r w:rsidRPr="00CB796C">
        <w:rPr>
          <w:lang w:val="de-DE"/>
        </w:rPr>
        <w:t>2014</w:t>
      </w:r>
      <w:r>
        <w:rPr>
          <w:lang w:val="de-DE"/>
        </w:rPr>
        <w:t>)</w:t>
      </w:r>
      <w:r w:rsidRPr="00EE04F1">
        <w:rPr>
          <w:lang w:val="de-DE"/>
        </w:rPr>
        <w:t xml:space="preserve"> </w:t>
      </w:r>
      <w:r w:rsidRPr="00EE04F1">
        <w:rPr>
          <w:i/>
          <w:lang w:val="de-DE"/>
        </w:rPr>
        <w:t>Zeitschrift für internationale Strafrechtsdogmatik</w:t>
      </w:r>
      <w:r>
        <w:rPr>
          <w:i/>
          <w:lang w:val="de-DE"/>
        </w:rPr>
        <w:t>,</w:t>
      </w:r>
      <w:r w:rsidRPr="00EE04F1">
        <w:rPr>
          <w:i/>
          <w:lang w:val="de-DE"/>
        </w:rPr>
        <w:t xml:space="preserve"> </w:t>
      </w:r>
      <w:r w:rsidRPr="00EE04F1">
        <w:rPr>
          <w:lang w:val="de-DE"/>
        </w:rPr>
        <w:t>216 (</w:t>
      </w:r>
      <w:r>
        <w:rPr>
          <w:lang w:val="de-DE"/>
        </w:rPr>
        <w:t xml:space="preserve">at </w:t>
      </w:r>
      <w:r w:rsidRPr="00EE04F1">
        <w:rPr>
          <w:lang w:val="de-DE"/>
        </w:rPr>
        <w:t xml:space="preserve">225). </w:t>
      </w:r>
    </w:p>
  </w:footnote>
  <w:footnote w:id="110">
    <w:p w14:paraId="1160360A" w14:textId="471A8942" w:rsidR="00D81F47" w:rsidRPr="00EE04F1" w:rsidRDefault="00D81F47" w:rsidP="008148D2">
      <w:pPr>
        <w:pStyle w:val="Funotentext"/>
        <w:rPr>
          <w:lang w:val="de-DE"/>
        </w:rPr>
      </w:pPr>
      <w:r>
        <w:rPr>
          <w:rStyle w:val="Funotenzeichen"/>
        </w:rPr>
        <w:footnoteRef/>
      </w:r>
      <w:r w:rsidRPr="00EE04F1">
        <w:rPr>
          <w:lang w:val="de-DE"/>
        </w:rPr>
        <w:t xml:space="preserve"> Morgenstern, “Die Europäische Überwachungsanordnung - Überkomplexes Ungetüm oder sinnvolles Instrument zur Untersuchungshaftvermeidung von Ausländern?”, (2014) </w:t>
      </w:r>
      <w:r w:rsidRPr="00EE04F1">
        <w:rPr>
          <w:i/>
          <w:lang w:val="de-DE"/>
        </w:rPr>
        <w:t xml:space="preserve">Zeitschrift für Internationale Strafrechtsdogmatik, </w:t>
      </w:r>
      <w:r w:rsidRPr="00EE04F1">
        <w:rPr>
          <w:lang w:val="de-DE"/>
        </w:rPr>
        <w:t xml:space="preserve">216 (at 225-226); see also the European Criminal Policy Initiative, ”A Manifesto on European Criminal Procedure Law”, (2013) </w:t>
      </w:r>
      <w:r w:rsidRPr="00EE04F1">
        <w:rPr>
          <w:i/>
          <w:lang w:val="de-DE"/>
        </w:rPr>
        <w:t xml:space="preserve">Zeitschrift für Internationale Strafrechtsdogmatik, </w:t>
      </w:r>
      <w:r w:rsidRPr="00EE04F1">
        <w:rPr>
          <w:lang w:val="de-DE"/>
        </w:rPr>
        <w:t>430 (at 438), referring to the maximum penalty of at least three years imprisonment for the exception from the double criminality requirement (Art. 14(1) FD 2009/829/JHA).</w:t>
      </w:r>
    </w:p>
  </w:footnote>
  <w:footnote w:id="111">
    <w:p w14:paraId="0CC6E80D" w14:textId="7CD92102" w:rsidR="00D81F47" w:rsidRPr="00777A20" w:rsidRDefault="00D81F47" w:rsidP="00777A20">
      <w:pPr>
        <w:pStyle w:val="Funotentext"/>
        <w:jc w:val="both"/>
        <w:rPr>
          <w:lang w:val="en-GB"/>
        </w:rPr>
      </w:pPr>
      <w:r>
        <w:rPr>
          <w:rStyle w:val="Funotenzeichen"/>
        </w:rPr>
        <w:footnoteRef/>
      </w:r>
      <w:r w:rsidRPr="00777A20">
        <w:rPr>
          <w:lang w:val="en-GB"/>
        </w:rPr>
        <w:t xml:space="preserve"> </w:t>
      </w:r>
      <w:r>
        <w:rPr>
          <w:lang w:val="en-GB"/>
        </w:rPr>
        <w:t xml:space="preserve">At various places the Annotated Index requires the NARs to put forward their opinion </w:t>
      </w:r>
      <w:r w:rsidRPr="00320ED7">
        <w:rPr>
          <w:lang w:val="en-GB"/>
        </w:rPr>
        <w:t xml:space="preserve">on the applicability of certain instruments to certain substages, </w:t>
      </w:r>
      <w:r w:rsidRPr="00777A20">
        <w:rPr>
          <w:u w:val="single"/>
          <w:lang w:val="en-GB"/>
        </w:rPr>
        <w:t>either as a matter of EU law or as a matter of national law</w:t>
      </w:r>
      <w:r w:rsidRPr="00320ED7">
        <w:rPr>
          <w:lang w:val="en-GB"/>
        </w:rPr>
        <w:t xml:space="preserve">. These are different </w:t>
      </w:r>
      <w:r>
        <w:rPr>
          <w:lang w:val="en-GB"/>
        </w:rPr>
        <w:t>questions</w:t>
      </w:r>
      <w:r w:rsidRPr="00320ED7">
        <w:rPr>
          <w:lang w:val="en-GB"/>
        </w:rPr>
        <w:t xml:space="preserve">. It may well be that a certain instrument does apply as a matter of EU law, but does not apply as a matter national law, </w:t>
      </w:r>
      <w:r>
        <w:rPr>
          <w:lang w:val="en-GB"/>
        </w:rPr>
        <w:t>a</w:t>
      </w:r>
      <w:r w:rsidRPr="00320ED7">
        <w:rPr>
          <w:lang w:val="en-GB"/>
        </w:rPr>
        <w:t>nd vice versa.</w:t>
      </w:r>
      <w:r>
        <w:rPr>
          <w:lang w:val="en-GB"/>
        </w:rPr>
        <w:t xml:space="preserve"> It may also be that a certain instrument allows a MS to refrain from providing for a certain measure but that a MS has chosen not to make use of that option. </w:t>
      </w:r>
      <w:r w:rsidRPr="00320ED7">
        <w:rPr>
          <w:lang w:val="en-GB"/>
        </w:rPr>
        <w:t>The answer to such questions may show that there are defects</w:t>
      </w:r>
      <w:r>
        <w:rPr>
          <w:lang w:val="en-GB"/>
        </w:rPr>
        <w:t xml:space="preserve"> – (in the former situation) or legitimate choices</w:t>
      </w:r>
      <w:r w:rsidRPr="00320ED7">
        <w:rPr>
          <w:lang w:val="en-GB"/>
        </w:rPr>
        <w:t xml:space="preserve"> </w:t>
      </w:r>
      <w:r>
        <w:rPr>
          <w:lang w:val="en-GB"/>
        </w:rPr>
        <w:t xml:space="preserve">(in the latter situation) </w:t>
      </w:r>
      <w:r w:rsidRPr="00320ED7">
        <w:rPr>
          <w:lang w:val="en-GB"/>
        </w:rPr>
        <w:t>that stand in the way of “effective and coherent” application of the instruments (see p. 3)</w:t>
      </w:r>
      <w:r>
        <w:rPr>
          <w:lang w:val="en-GB"/>
        </w:rPr>
        <w:t>.</w:t>
      </w:r>
    </w:p>
  </w:footnote>
  <w:footnote w:id="112">
    <w:p w14:paraId="68A228B4" w14:textId="40836F21" w:rsidR="00D81F47" w:rsidRPr="0033147B" w:rsidRDefault="00D81F47">
      <w:pPr>
        <w:pStyle w:val="Funotentext"/>
        <w:rPr>
          <w:lang w:val="en-GB"/>
        </w:rPr>
      </w:pPr>
      <w:r>
        <w:rPr>
          <w:rStyle w:val="Funotenzeichen"/>
        </w:rPr>
        <w:footnoteRef/>
      </w:r>
      <w:r w:rsidRPr="0033147B">
        <w:rPr>
          <w:lang w:val="en-GB"/>
        </w:rPr>
        <w:t xml:space="preserve"> Commission Notice – Handbook on How to Issue and Execute a European Arrest Warrant, 17 November 2023 - C(2023) 7782 final, p. 15.</w:t>
      </w:r>
    </w:p>
  </w:footnote>
  <w:footnote w:id="113">
    <w:p w14:paraId="5C85994B" w14:textId="5133F509" w:rsidR="00D81F47" w:rsidRPr="0033147B" w:rsidRDefault="00D81F47">
      <w:pPr>
        <w:pStyle w:val="Funotentext"/>
        <w:rPr>
          <w:lang w:val="en-GB"/>
        </w:rPr>
      </w:pPr>
      <w:r>
        <w:rPr>
          <w:rStyle w:val="Funotenzeichen"/>
        </w:rPr>
        <w:footnoteRef/>
      </w:r>
      <w:r w:rsidRPr="0033147B">
        <w:rPr>
          <w:lang w:val="en-GB"/>
        </w:rPr>
        <w:t xml:space="preserve"> Higher Regional Court Karlsruhe, Decision of 21 December 2016 - AK119/16, ECLI:DE:OLGKARL:2016:1221.1AK119.16.0A, (2016) BeckRS, 21411</w:t>
      </w:r>
      <w:r>
        <w:rPr>
          <w:lang w:val="en-GB"/>
        </w:rPr>
        <w:t xml:space="preserve">; </w:t>
      </w:r>
      <w:r>
        <w:rPr>
          <w:lang w:val="en-US" w:eastAsia="de-DE"/>
        </w:rPr>
        <w:t>proportionality</w:t>
      </w:r>
      <w:r w:rsidRPr="00641A41">
        <w:rPr>
          <w:lang w:val="en-US" w:eastAsia="de-DE"/>
        </w:rPr>
        <w:t xml:space="preserve"> </w:t>
      </w:r>
      <w:r w:rsidRPr="00B367D8">
        <w:rPr>
          <w:lang w:val="en-US" w:eastAsia="de-DE"/>
        </w:rPr>
        <w:t>is</w:t>
      </w:r>
      <w:r>
        <w:rPr>
          <w:lang w:val="en-US" w:eastAsia="de-DE"/>
        </w:rPr>
        <w:t xml:space="preserve"> explicitly </w:t>
      </w:r>
      <w:r w:rsidRPr="00641A41">
        <w:rPr>
          <w:lang w:val="en-US" w:eastAsia="de-DE"/>
        </w:rPr>
        <w:t xml:space="preserve">specified </w:t>
      </w:r>
      <w:r>
        <w:rPr>
          <w:lang w:val="en-US" w:eastAsia="de-DE"/>
        </w:rPr>
        <w:t>as a requirement for an EAW in section</w:t>
      </w:r>
      <w:r w:rsidRPr="00641A41">
        <w:rPr>
          <w:lang w:val="en-US" w:eastAsia="de-DE"/>
        </w:rPr>
        <w:t xml:space="preserve"> 169 para. 1 of the </w:t>
      </w:r>
      <w:r>
        <w:rPr>
          <w:lang w:val="en-GB"/>
        </w:rPr>
        <w:t>draft bill</w:t>
      </w:r>
      <w:r>
        <w:t xml:space="preserve"> by the Federal Ministry of Justice of 11 September 2024.</w:t>
      </w:r>
    </w:p>
  </w:footnote>
  <w:footnote w:id="114">
    <w:p w14:paraId="7A94CEE7" w14:textId="77777777" w:rsidR="00D81F47" w:rsidRPr="0075078C" w:rsidRDefault="00D81F47" w:rsidP="00CC0C70">
      <w:pPr>
        <w:pStyle w:val="Funotentext"/>
      </w:pPr>
      <w:r>
        <w:rPr>
          <w:rStyle w:val="Funotenzeichen"/>
        </w:rPr>
        <w:footnoteRef/>
      </w:r>
      <w:r>
        <w:t xml:space="preserve"> </w:t>
      </w:r>
      <w:r w:rsidRPr="0033147B">
        <w:rPr>
          <w:lang w:val="en-GB"/>
        </w:rPr>
        <w:t>See the explanatory memorandum to the draft on the transposition of FD 2009/829/JHA into German law, Bundestags-Drucks</w:t>
      </w:r>
      <w:r w:rsidRPr="00235556">
        <w:rPr>
          <w:lang w:val="en-US"/>
        </w:rPr>
        <w:t>ache</w:t>
      </w:r>
      <w:r w:rsidRPr="0033147B">
        <w:rPr>
          <w:lang w:val="en-GB"/>
        </w:rPr>
        <w:t xml:space="preserve"> 18/4894, p. 1</w:t>
      </w:r>
      <w:r>
        <w:rPr>
          <w:lang w:val="en-GB"/>
        </w:rPr>
        <w:t xml:space="preserve">7-18. </w:t>
      </w:r>
    </w:p>
  </w:footnote>
  <w:footnote w:id="115">
    <w:p w14:paraId="4A5672B6" w14:textId="16C42ECC" w:rsidR="00D81F47" w:rsidRPr="00116C79" w:rsidRDefault="00D81F47">
      <w:pPr>
        <w:pStyle w:val="Funotentext"/>
        <w:rPr>
          <w:lang w:val="de-DE"/>
        </w:rPr>
      </w:pPr>
      <w:r>
        <w:rPr>
          <w:rStyle w:val="Funotenzeichen"/>
        </w:rPr>
        <w:footnoteRef/>
      </w:r>
      <w:r w:rsidRPr="00116C79">
        <w:rPr>
          <w:lang w:val="de-DE"/>
        </w:rPr>
        <w:t xml:space="preserve"> Dornbusch, “§ 90y” in Grützner/Pötz/Kreß/Gazeas/Brodowski (Eds.), </w:t>
      </w:r>
      <w:r w:rsidRPr="00116C79">
        <w:rPr>
          <w:i/>
          <w:lang w:val="de-DE"/>
        </w:rPr>
        <w:t>Internationaler Rechtshilfeverkehr in Strafsachen</w:t>
      </w:r>
      <w:r w:rsidRPr="00116C79">
        <w:rPr>
          <w:lang w:val="de-DE"/>
        </w:rPr>
        <w:t>, 3rd ed. (5</w:t>
      </w:r>
      <w:r>
        <w:rPr>
          <w:lang w:val="de-DE"/>
        </w:rPr>
        <w:t>7</w:t>
      </w:r>
      <w:r w:rsidRPr="00116C79">
        <w:rPr>
          <w:lang w:val="de-DE"/>
        </w:rPr>
        <w:t xml:space="preserve">th installment, C.F. Müller, </w:t>
      </w:r>
      <w:r>
        <w:rPr>
          <w:lang w:val="de-DE"/>
        </w:rPr>
        <w:t>Jun</w:t>
      </w:r>
      <w:r w:rsidRPr="00116C79">
        <w:rPr>
          <w:lang w:val="de-DE"/>
        </w:rPr>
        <w:t>.</w:t>
      </w:r>
      <w:r>
        <w:rPr>
          <w:lang w:val="de-DE"/>
        </w:rPr>
        <w:t xml:space="preserve"> </w:t>
      </w:r>
      <w:r w:rsidRPr="00116C79">
        <w:rPr>
          <w:lang w:val="de-DE"/>
        </w:rPr>
        <w:t>202</w:t>
      </w:r>
      <w:r>
        <w:rPr>
          <w:lang w:val="de-DE"/>
        </w:rPr>
        <w:t>4</w:t>
      </w:r>
      <w:r w:rsidRPr="00116C79">
        <w:rPr>
          <w:lang w:val="de-DE"/>
        </w:rPr>
        <w:t>), para. 2.</w:t>
      </w:r>
    </w:p>
  </w:footnote>
  <w:footnote w:id="116">
    <w:p w14:paraId="0A8D58EC" w14:textId="6258BB3E" w:rsidR="00D81F47" w:rsidRPr="0033147B" w:rsidRDefault="00D81F47">
      <w:pPr>
        <w:pStyle w:val="Funotentext"/>
        <w:rPr>
          <w:lang w:val="en-GB"/>
        </w:rPr>
      </w:pPr>
      <w:r>
        <w:rPr>
          <w:rStyle w:val="Funotenzeichen"/>
        </w:rPr>
        <w:footnoteRef/>
      </w:r>
      <w:r w:rsidRPr="00CF7EC8">
        <w:rPr>
          <w:lang w:val="de-DE"/>
        </w:rPr>
        <w:t xml:space="preserve"> See the explanatory memorandum to the law implementing DR 2014/41/EU, Bundestags-Drucksache 18/9757, p. 65; Böse, “§ 91j” in Grützner/Pötz/Kreß/Gazeas/Brodowski (Eds.), </w:t>
      </w:r>
      <w:r w:rsidRPr="00CF7EC8">
        <w:rPr>
          <w:i/>
          <w:lang w:val="de-DE"/>
        </w:rPr>
        <w:t>Internationaler Rechtshilfeverkehr in Strafsachen</w:t>
      </w:r>
      <w:r w:rsidRPr="00CF7EC8">
        <w:rPr>
          <w:lang w:val="de-DE"/>
        </w:rPr>
        <w:t xml:space="preserve">, 3rd ed. </w:t>
      </w:r>
      <w:r w:rsidRPr="00EE04F1">
        <w:rPr>
          <w:lang w:val="de-DE"/>
        </w:rPr>
        <w:t>(5</w:t>
      </w:r>
      <w:r>
        <w:rPr>
          <w:lang w:val="de-DE"/>
        </w:rPr>
        <w:t>7th</w:t>
      </w:r>
      <w:r w:rsidRPr="00EE04F1">
        <w:rPr>
          <w:lang w:val="de-DE"/>
        </w:rPr>
        <w:t xml:space="preserve"> instal</w:t>
      </w:r>
      <w:r>
        <w:rPr>
          <w:lang w:val="de-DE"/>
        </w:rPr>
        <w:t>l</w:t>
      </w:r>
      <w:r w:rsidRPr="00EE04F1">
        <w:rPr>
          <w:lang w:val="de-DE"/>
        </w:rPr>
        <w:t xml:space="preserve">ment, C. F. Müller, </w:t>
      </w:r>
      <w:r>
        <w:rPr>
          <w:lang w:val="de-DE"/>
        </w:rPr>
        <w:t>Jun. 2024</w:t>
      </w:r>
      <w:r w:rsidRPr="00EE04F1">
        <w:rPr>
          <w:lang w:val="de-DE"/>
        </w:rPr>
        <w:t xml:space="preserve">), para. 11; Trautmann,       “§ 91j” in Schomburg/Lagodny </w:t>
      </w:r>
      <w:r>
        <w:rPr>
          <w:lang w:val="de-DE"/>
        </w:rPr>
        <w:t>(Eds.)</w:t>
      </w:r>
      <w:r w:rsidRPr="00CB796C">
        <w:rPr>
          <w:lang w:val="de-DE"/>
        </w:rPr>
        <w:t xml:space="preserve"> </w:t>
      </w:r>
      <w:r w:rsidRPr="00CB796C">
        <w:rPr>
          <w:i/>
          <w:lang w:val="de-DE"/>
        </w:rPr>
        <w:t>Internationale Rechtshilfe in Strafsachen</w:t>
      </w:r>
      <w:r w:rsidRPr="00CB796C">
        <w:rPr>
          <w:lang w:val="de-DE"/>
        </w:rPr>
        <w:t>, 6th ed. (C.H. Beck, 2020), para 11; Wörner</w:t>
      </w:r>
      <w:r>
        <w:rPr>
          <w:lang w:val="de-DE"/>
        </w:rPr>
        <w:t>,</w:t>
      </w:r>
      <w:r w:rsidRPr="0033147B">
        <w:rPr>
          <w:lang w:val="de-DE"/>
        </w:rPr>
        <w:t xml:space="preserve"> </w:t>
      </w:r>
      <w:bookmarkStart w:id="95" w:name="_Hlk169859987"/>
      <w:r w:rsidRPr="0033147B">
        <w:rPr>
          <w:lang w:val="de-DE"/>
        </w:rPr>
        <w:t>“</w:t>
      </w:r>
      <w:bookmarkEnd w:id="95"/>
      <w:r w:rsidRPr="00CB796C">
        <w:rPr>
          <w:lang w:val="de-DE"/>
        </w:rPr>
        <w:t>§ 91c</w:t>
      </w:r>
      <w:r>
        <w:rPr>
          <w:lang w:val="de-DE"/>
        </w:rPr>
        <w:t>“</w:t>
      </w:r>
      <w:r w:rsidRPr="00CB796C">
        <w:rPr>
          <w:lang w:val="de-DE"/>
        </w:rPr>
        <w:t xml:space="preserve"> in Ambos/König/Rackow</w:t>
      </w:r>
      <w:r>
        <w:rPr>
          <w:lang w:val="de-DE"/>
        </w:rPr>
        <w:t xml:space="preserve"> (Eds.)</w:t>
      </w:r>
      <w:r w:rsidRPr="0033147B">
        <w:rPr>
          <w:lang w:val="de-DE"/>
        </w:rPr>
        <w:t xml:space="preserve">, </w:t>
      </w:r>
      <w:r w:rsidRPr="0033147B">
        <w:rPr>
          <w:i/>
          <w:lang w:val="de-DE"/>
        </w:rPr>
        <w:t>Rechtshilferecht in Strafsachen</w:t>
      </w:r>
      <w:r w:rsidRPr="0033147B">
        <w:rPr>
          <w:lang w:val="de-DE"/>
        </w:rPr>
        <w:t>, 2nd ed</w:t>
      </w:r>
      <w:r>
        <w:rPr>
          <w:lang w:val="de-DE"/>
        </w:rPr>
        <w:t>.</w:t>
      </w:r>
      <w:r w:rsidRPr="00CB796C">
        <w:rPr>
          <w:lang w:val="de-DE"/>
        </w:rPr>
        <w:t xml:space="preserve"> </w:t>
      </w:r>
      <w:r w:rsidRPr="0033147B">
        <w:rPr>
          <w:lang w:val="en-GB"/>
        </w:rPr>
        <w:t>(Nomos, 2020), chapter 4 para 571. This view is also supported by defence counsels, see Defence Lawyer</w:t>
      </w:r>
      <w:r>
        <w:rPr>
          <w:lang w:val="en-US"/>
        </w:rPr>
        <w:t xml:space="preserve"> </w:t>
      </w:r>
      <w:r w:rsidRPr="00CB796C">
        <w:rPr>
          <w:lang w:val="en-US"/>
        </w:rPr>
        <w:t>I</w:t>
      </w:r>
      <w:r>
        <w:rPr>
          <w:lang w:val="en-US"/>
        </w:rPr>
        <w:t xml:space="preserve"> (interview)</w:t>
      </w:r>
      <w:r w:rsidRPr="0033147B">
        <w:rPr>
          <w:lang w:val="en-GB"/>
        </w:rPr>
        <w:t>.</w:t>
      </w:r>
    </w:p>
  </w:footnote>
  <w:footnote w:id="117">
    <w:p w14:paraId="616E6D0C" w14:textId="7D5CF020" w:rsidR="00D81F47" w:rsidRPr="0033147B" w:rsidRDefault="00D81F47" w:rsidP="00FB7709">
      <w:pPr>
        <w:pStyle w:val="Funotentext"/>
        <w:rPr>
          <w:lang w:val="en-GB"/>
        </w:rPr>
      </w:pPr>
      <w:r>
        <w:rPr>
          <w:rStyle w:val="Funotenzeichen"/>
        </w:rPr>
        <w:footnoteRef/>
      </w:r>
      <w:r w:rsidRPr="0033147B">
        <w:rPr>
          <w:lang w:val="en-GB"/>
        </w:rPr>
        <w:t xml:space="preserve"> Public Prosecutor’s Office </w:t>
      </w:r>
      <w:r>
        <w:rPr>
          <w:lang w:val="en-GB"/>
        </w:rPr>
        <w:t>III</w:t>
      </w:r>
      <w:r w:rsidRPr="0033147B">
        <w:rPr>
          <w:lang w:val="en-GB"/>
        </w:rPr>
        <w:t xml:space="preserve"> (interview</w:t>
      </w:r>
      <w:r>
        <w:rPr>
          <w:lang w:val="en-US"/>
        </w:rPr>
        <w:t xml:space="preserve">). </w:t>
      </w:r>
    </w:p>
  </w:footnote>
  <w:footnote w:id="118">
    <w:p w14:paraId="0C55C5F8" w14:textId="3A4C3C73" w:rsidR="00D81F47" w:rsidRPr="0033147B" w:rsidRDefault="00D81F47">
      <w:pPr>
        <w:pStyle w:val="Funotentext"/>
        <w:rPr>
          <w:lang w:val="en-GB"/>
        </w:rPr>
      </w:pPr>
      <w:r>
        <w:rPr>
          <w:rStyle w:val="Funotenzeichen"/>
        </w:rPr>
        <w:footnoteRef/>
      </w:r>
      <w:r w:rsidRPr="00EE04F1">
        <w:rPr>
          <w:lang w:val="de-DE"/>
        </w:rPr>
        <w:t xml:space="preserve"> Hackner and Schierholt, </w:t>
      </w:r>
      <w:r w:rsidRPr="00EE04F1">
        <w:rPr>
          <w:i/>
          <w:lang w:val="de-DE"/>
        </w:rPr>
        <w:t>Internationale Rechtshilfe in Strafsachen</w:t>
      </w:r>
      <w:r w:rsidRPr="00EE04F1">
        <w:rPr>
          <w:lang w:val="de-DE"/>
        </w:rPr>
        <w:t xml:space="preserve">, 4th ed. </w:t>
      </w:r>
      <w:r w:rsidRPr="0033147B">
        <w:rPr>
          <w:lang w:val="en-GB"/>
        </w:rPr>
        <w:t>(C.H. Beck, 2023), para 503; academic expert (interview).</w:t>
      </w:r>
    </w:p>
  </w:footnote>
  <w:footnote w:id="119">
    <w:p w14:paraId="057C49A2" w14:textId="77777777" w:rsidR="00D81F47" w:rsidRPr="00353C2A" w:rsidRDefault="00D81F47" w:rsidP="00777A20">
      <w:pPr>
        <w:pStyle w:val="Funotentext"/>
        <w:jc w:val="both"/>
        <w:rPr>
          <w:lang w:val="en-GB"/>
        </w:rPr>
      </w:pPr>
      <w:r w:rsidRPr="00353C2A">
        <w:rPr>
          <w:rStyle w:val="Funotenzeichen"/>
          <w:rFonts w:eastAsiaTheme="majorEastAsia"/>
        </w:rPr>
        <w:footnoteRef/>
      </w:r>
      <w:r w:rsidRPr="00353C2A">
        <w:rPr>
          <w:lang w:val="en-GB"/>
        </w:rPr>
        <w:t xml:space="preserve"> The focus on proceedings concerning an offence for which detention on remand is (ultimately) possible implies that it is possible to impose a sentence involving deprivation of liberty (</w:t>
      </w:r>
      <w:r w:rsidRPr="00353C2A">
        <w:rPr>
          <w:i/>
          <w:iCs/>
          <w:lang w:val="en-GB"/>
        </w:rPr>
        <w:t>sensu stricto</w:t>
      </w:r>
      <w:r w:rsidRPr="00353C2A">
        <w:rPr>
          <w:lang w:val="en-GB"/>
        </w:rPr>
        <w:t>). After all, detention on remand would not be proportionate and would, therefore, be contrary to Article 5 of the ECHR/Article 6 of the Charter, if only a non-custodial sanction could be imposed for the offence.</w:t>
      </w:r>
    </w:p>
    <w:p w14:paraId="0C217C7C" w14:textId="1A3DB2A6" w:rsidR="00D81F47" w:rsidRPr="00353C2A" w:rsidRDefault="00D81F47" w:rsidP="00777A20">
      <w:pPr>
        <w:pStyle w:val="Funotentext"/>
        <w:jc w:val="both"/>
        <w:rPr>
          <w:lang w:val="en-GB"/>
        </w:rPr>
      </w:pPr>
      <w:r w:rsidRPr="00353C2A">
        <w:rPr>
          <w:lang w:val="en-GB"/>
        </w:rPr>
        <w:t>Consequently, proceedings concerning an offence which only carries a non-custod</w:t>
      </w:r>
      <w:r>
        <w:rPr>
          <w:lang w:val="en-GB"/>
        </w:rPr>
        <w:t>ial sanction are out of scope.</w:t>
      </w:r>
    </w:p>
  </w:footnote>
  <w:footnote w:id="120">
    <w:p w14:paraId="5A00EA19" w14:textId="459E8C92" w:rsidR="00D81F47" w:rsidRPr="00777A20" w:rsidRDefault="00D81F47" w:rsidP="006601C1">
      <w:pPr>
        <w:pStyle w:val="Funotentext"/>
        <w:jc w:val="both"/>
        <w:rPr>
          <w:lang w:val="en-GB"/>
        </w:rPr>
      </w:pPr>
      <w:r>
        <w:rPr>
          <w:rStyle w:val="Funotenzeichen"/>
        </w:rPr>
        <w:footnoteRef/>
      </w:r>
      <w:r w:rsidRPr="00777A20">
        <w:rPr>
          <w:lang w:val="en-GB"/>
        </w:rPr>
        <w:t xml:space="preserve"> Cf. C</w:t>
      </w:r>
      <w:r>
        <w:rPr>
          <w:lang w:val="en-GB"/>
        </w:rPr>
        <w:t>ase C-285/23.</w:t>
      </w:r>
    </w:p>
  </w:footnote>
  <w:footnote w:id="121">
    <w:p w14:paraId="31BC777D" w14:textId="77777777" w:rsidR="00D81F47" w:rsidRPr="005B0847" w:rsidRDefault="00D81F47" w:rsidP="005B0847">
      <w:pPr>
        <w:pStyle w:val="Funotentext"/>
        <w:jc w:val="both"/>
        <w:rPr>
          <w:lang w:val="en-US"/>
        </w:rPr>
      </w:pPr>
      <w:r>
        <w:rPr>
          <w:rStyle w:val="Funotenzeichen"/>
        </w:rPr>
        <w:footnoteRef/>
      </w:r>
      <w:r w:rsidRPr="005B0847">
        <w:rPr>
          <w:lang w:val="en-US"/>
        </w:rPr>
        <w:t xml:space="preserve"> Cf. Case C-255/23.</w:t>
      </w:r>
    </w:p>
  </w:footnote>
  <w:footnote w:id="122">
    <w:p w14:paraId="69AB661F" w14:textId="5879E1AD" w:rsidR="00D81F47" w:rsidRPr="00CE1B4E" w:rsidRDefault="00D81F47">
      <w:pPr>
        <w:pStyle w:val="Funotentext"/>
        <w:rPr>
          <w:lang w:val="en-US"/>
        </w:rPr>
      </w:pPr>
      <w:r>
        <w:rPr>
          <w:rStyle w:val="Funotenzeichen"/>
        </w:rPr>
        <w:footnoteRef/>
      </w:r>
      <w:r w:rsidRPr="00CE1B4E">
        <w:rPr>
          <w:lang w:val="en-GB"/>
        </w:rPr>
        <w:t xml:space="preserve"> </w:t>
      </w:r>
      <w:r w:rsidRPr="00CE1B4E">
        <w:rPr>
          <w:lang w:val="en-US"/>
        </w:rPr>
        <w:t>Explanatory memorandum (‘Denkschrift’) to the EU Convention on Mutual Assistance, Bundestags-Drucksache No. 15/4233, p. 23</w:t>
      </w:r>
      <w:r>
        <w:rPr>
          <w:lang w:val="en-US"/>
        </w:rPr>
        <w:t xml:space="preserve">; this provision still applies to cooperation with Denmark, likewise Art. 9 of the Second Additional Protocol to the Council of Europe Convention on Mutual Assistance in Criminal Matters with Ireland. </w:t>
      </w:r>
    </w:p>
  </w:footnote>
  <w:footnote w:id="123">
    <w:p w14:paraId="0E776451" w14:textId="564B7877" w:rsidR="00D81F47" w:rsidRPr="00036FE3" w:rsidRDefault="00D81F47">
      <w:pPr>
        <w:pStyle w:val="Funotentext"/>
      </w:pPr>
      <w:r>
        <w:rPr>
          <w:rStyle w:val="Funotenzeichen"/>
        </w:rPr>
        <w:footnoteRef/>
      </w:r>
      <w:r>
        <w:t xml:space="preserve"> See an example of an incoming request </w:t>
      </w:r>
      <w:r w:rsidRPr="007D13FC">
        <w:rPr>
          <w:lang w:val="de-DE"/>
        </w:rPr>
        <w:t>Rinio</w:t>
      </w:r>
      <w:r>
        <w:rPr>
          <w:lang w:val="de-DE"/>
        </w:rPr>
        <w:t>,</w:t>
      </w:r>
      <w:r w:rsidRPr="007D13FC">
        <w:rPr>
          <w:lang w:val="de-DE"/>
        </w:rPr>
        <w:t xml:space="preserve"> </w:t>
      </w:r>
      <w:r w:rsidRPr="00EE04F1">
        <w:rPr>
          <w:lang w:val="de-DE"/>
        </w:rPr>
        <w:t>“</w:t>
      </w:r>
      <w:r w:rsidRPr="007D13FC">
        <w:rPr>
          <w:lang w:val="de-DE"/>
        </w:rPr>
        <w:t>Hauptverhandlung per Videokonferenz im Wege der internationalen Rechtshilfe in Strafsachen</w:t>
      </w:r>
      <w:r>
        <w:rPr>
          <w:lang w:val="de-DE"/>
        </w:rPr>
        <w:t>“,</w:t>
      </w:r>
      <w:r w:rsidRPr="007D13FC">
        <w:rPr>
          <w:lang w:val="de-DE"/>
        </w:rPr>
        <w:t xml:space="preserve"> </w:t>
      </w:r>
      <w:r>
        <w:rPr>
          <w:lang w:val="de-DE"/>
        </w:rPr>
        <w:t>(</w:t>
      </w:r>
      <w:r w:rsidRPr="007D13FC">
        <w:rPr>
          <w:lang w:val="de-DE"/>
        </w:rPr>
        <w:t>2004</w:t>
      </w:r>
      <w:r>
        <w:rPr>
          <w:lang w:val="de-DE"/>
        </w:rPr>
        <w:t>)</w:t>
      </w:r>
      <w:r w:rsidRPr="007D13FC">
        <w:rPr>
          <w:lang w:val="de-DE"/>
        </w:rPr>
        <w:t xml:space="preserve"> </w:t>
      </w:r>
      <w:r w:rsidRPr="007D13FC">
        <w:rPr>
          <w:i/>
          <w:lang w:val="de-DE"/>
        </w:rPr>
        <w:t>Neue Zeitschrift für Strafrecht</w:t>
      </w:r>
      <w:r>
        <w:rPr>
          <w:i/>
          <w:lang w:val="de-DE"/>
        </w:rPr>
        <w:t>,</w:t>
      </w:r>
      <w:r w:rsidRPr="007D13FC">
        <w:rPr>
          <w:i/>
          <w:lang w:val="de-DE"/>
        </w:rPr>
        <w:t xml:space="preserve"> </w:t>
      </w:r>
      <w:r w:rsidRPr="007D13FC">
        <w:rPr>
          <w:lang w:val="de-DE"/>
        </w:rPr>
        <w:t>188</w:t>
      </w:r>
      <w:r>
        <w:rPr>
          <w:lang w:val="de-DE"/>
        </w:rPr>
        <w:t>.</w:t>
      </w:r>
    </w:p>
  </w:footnote>
  <w:footnote w:id="124">
    <w:p w14:paraId="54F09BF4" w14:textId="501843D3" w:rsidR="00D81F47" w:rsidRPr="007D13FC" w:rsidRDefault="00D81F47">
      <w:pPr>
        <w:pStyle w:val="Funotentext"/>
        <w:rPr>
          <w:lang w:val="de-DE"/>
        </w:rPr>
      </w:pPr>
      <w:r>
        <w:rPr>
          <w:rStyle w:val="Funotenzeichen"/>
        </w:rPr>
        <w:footnoteRef/>
      </w:r>
      <w:r w:rsidRPr="00EE04F1">
        <w:rPr>
          <w:lang w:val="de-DE"/>
        </w:rPr>
        <w:t xml:space="preserve"> Hackner and Schierholt, </w:t>
      </w:r>
      <w:r w:rsidRPr="00EE04F1">
        <w:rPr>
          <w:i/>
          <w:lang w:val="de-DE"/>
        </w:rPr>
        <w:t>Internationale Rechtshilfe in Strafsachen</w:t>
      </w:r>
      <w:r w:rsidRPr="00EE04F1">
        <w:rPr>
          <w:lang w:val="de-DE"/>
        </w:rPr>
        <w:t>, 4th ed</w:t>
      </w:r>
      <w:r w:rsidRPr="00CB796C">
        <w:rPr>
          <w:lang w:val="de-DE"/>
        </w:rPr>
        <w:t>.</w:t>
      </w:r>
      <w:r w:rsidRPr="00EE04F1">
        <w:rPr>
          <w:lang w:val="de-DE"/>
        </w:rPr>
        <w:t xml:space="preserve"> (C.H. Beck</w:t>
      </w:r>
      <w:r w:rsidRPr="00CB796C">
        <w:rPr>
          <w:lang w:val="de-DE"/>
        </w:rPr>
        <w:t>,</w:t>
      </w:r>
      <w:r w:rsidRPr="00EE04F1">
        <w:rPr>
          <w:lang w:val="de-DE"/>
        </w:rPr>
        <w:t xml:space="preserve"> 2023), para 907; </w:t>
      </w:r>
      <w:r w:rsidRPr="007D13FC">
        <w:rPr>
          <w:lang w:val="de-DE"/>
        </w:rPr>
        <w:t>Rinio</w:t>
      </w:r>
      <w:r>
        <w:rPr>
          <w:lang w:val="de-DE"/>
        </w:rPr>
        <w:t>,</w:t>
      </w:r>
      <w:r w:rsidRPr="007D13FC">
        <w:rPr>
          <w:lang w:val="de-DE"/>
        </w:rPr>
        <w:t xml:space="preserve"> </w:t>
      </w:r>
      <w:r w:rsidRPr="00EE04F1">
        <w:rPr>
          <w:lang w:val="de-DE"/>
        </w:rPr>
        <w:t>“</w:t>
      </w:r>
      <w:r w:rsidRPr="007D13FC">
        <w:rPr>
          <w:lang w:val="de-DE"/>
        </w:rPr>
        <w:t>Hauptverhandlung per Videokonferenz im Wege der internationalen Rechtshilfe in Strafsachen</w:t>
      </w:r>
      <w:r>
        <w:rPr>
          <w:lang w:val="de-DE"/>
        </w:rPr>
        <w:t>“,</w:t>
      </w:r>
      <w:r w:rsidRPr="007D13FC">
        <w:rPr>
          <w:lang w:val="de-DE"/>
        </w:rPr>
        <w:t xml:space="preserve"> </w:t>
      </w:r>
      <w:r>
        <w:rPr>
          <w:lang w:val="de-DE"/>
        </w:rPr>
        <w:t>(</w:t>
      </w:r>
      <w:r w:rsidRPr="007D13FC">
        <w:rPr>
          <w:lang w:val="de-DE"/>
        </w:rPr>
        <w:t>2004</w:t>
      </w:r>
      <w:r>
        <w:rPr>
          <w:lang w:val="de-DE"/>
        </w:rPr>
        <w:t>)</w:t>
      </w:r>
      <w:r w:rsidRPr="007D13FC">
        <w:rPr>
          <w:lang w:val="de-DE"/>
        </w:rPr>
        <w:t xml:space="preserve"> </w:t>
      </w:r>
      <w:r w:rsidRPr="007D13FC">
        <w:rPr>
          <w:i/>
          <w:lang w:val="de-DE"/>
        </w:rPr>
        <w:t>Neue Zeitschrift für Strafrecht</w:t>
      </w:r>
      <w:r>
        <w:rPr>
          <w:i/>
          <w:lang w:val="de-DE"/>
        </w:rPr>
        <w:t>,</w:t>
      </w:r>
      <w:r w:rsidRPr="007D13FC">
        <w:rPr>
          <w:i/>
          <w:lang w:val="de-DE"/>
        </w:rPr>
        <w:t xml:space="preserve"> </w:t>
      </w:r>
      <w:r w:rsidRPr="007D13FC">
        <w:rPr>
          <w:lang w:val="de-DE"/>
        </w:rPr>
        <w:t>188 (</w:t>
      </w:r>
      <w:r>
        <w:rPr>
          <w:lang w:val="de-DE"/>
        </w:rPr>
        <w:t xml:space="preserve">at </w:t>
      </w:r>
      <w:r w:rsidRPr="007D13FC">
        <w:rPr>
          <w:lang w:val="de-DE"/>
        </w:rPr>
        <w:t>189-191); Trautmann and Zimmermann</w:t>
      </w:r>
      <w:r>
        <w:rPr>
          <w:lang w:val="de-DE"/>
        </w:rPr>
        <w:t>,</w:t>
      </w:r>
      <w:r w:rsidRPr="007D13FC">
        <w:rPr>
          <w:lang w:val="de-DE"/>
        </w:rPr>
        <w:t xml:space="preserve"> </w:t>
      </w:r>
      <w:r w:rsidRPr="00EE04F1">
        <w:rPr>
          <w:lang w:val="de-DE"/>
        </w:rPr>
        <w:t>“</w:t>
      </w:r>
      <w:r w:rsidRPr="007D13FC">
        <w:rPr>
          <w:lang w:val="de-DE"/>
        </w:rPr>
        <w:t>§ 59 IRG</w:t>
      </w:r>
      <w:r>
        <w:rPr>
          <w:lang w:val="de-DE"/>
        </w:rPr>
        <w:t>“</w:t>
      </w:r>
      <w:r w:rsidRPr="007D13FC">
        <w:rPr>
          <w:lang w:val="de-DE"/>
        </w:rPr>
        <w:t xml:space="preserve"> in </w:t>
      </w:r>
      <w:r w:rsidRPr="00EE04F1">
        <w:rPr>
          <w:lang w:val="de-DE"/>
        </w:rPr>
        <w:t>Schomburg/Lagodny</w:t>
      </w:r>
      <w:r>
        <w:rPr>
          <w:lang w:val="de-DE"/>
        </w:rPr>
        <w:t xml:space="preserve"> (Eds.)</w:t>
      </w:r>
      <w:r w:rsidRPr="00EE04F1">
        <w:rPr>
          <w:lang w:val="de-DE"/>
        </w:rPr>
        <w:t xml:space="preserve">, </w:t>
      </w:r>
      <w:r w:rsidRPr="00EE04F1">
        <w:rPr>
          <w:i/>
          <w:lang w:val="de-DE"/>
        </w:rPr>
        <w:t>Internationale Rechtshilfe in Strafsachen</w:t>
      </w:r>
      <w:r w:rsidRPr="00EE04F1">
        <w:rPr>
          <w:lang w:val="de-DE"/>
        </w:rPr>
        <w:t>, 6th ed</w:t>
      </w:r>
      <w:r>
        <w:rPr>
          <w:lang w:val="de-DE"/>
        </w:rPr>
        <w:t>.</w:t>
      </w:r>
      <w:r w:rsidRPr="00CB796C">
        <w:rPr>
          <w:lang w:val="de-DE"/>
        </w:rPr>
        <w:t xml:space="preserve"> (C.H. Beck, 2020), para 103.</w:t>
      </w:r>
    </w:p>
  </w:footnote>
  <w:footnote w:id="125">
    <w:p w14:paraId="636D5F32" w14:textId="0A47C166" w:rsidR="00D81F47" w:rsidRPr="00100F9F" w:rsidRDefault="00D81F47">
      <w:pPr>
        <w:pStyle w:val="Funotentext"/>
      </w:pPr>
      <w:r>
        <w:rPr>
          <w:rStyle w:val="Funotenzeichen"/>
        </w:rPr>
        <w:footnoteRef/>
      </w:r>
      <w:r>
        <w:t xml:space="preserve"> </w:t>
      </w:r>
      <w:r w:rsidRPr="00C37EBE">
        <w:t xml:space="preserve">Explanatory memorandum (‘Denkschrift’) to the EU Convention on Mutual Assistance, Bundestags-Drucksache No. 15/4233, p. 23; Gleß/Wahl, “Art. 10 EU-RhÜbk” in Schomburg/Lagodny (Eds.) </w:t>
      </w:r>
      <w:r w:rsidRPr="00CB796C">
        <w:rPr>
          <w:i/>
          <w:lang w:val="de-DE"/>
        </w:rPr>
        <w:t>Internationale Rechtshilfe in Strafsachen</w:t>
      </w:r>
      <w:r w:rsidRPr="00CB796C">
        <w:rPr>
          <w:lang w:val="de-DE"/>
        </w:rPr>
        <w:t xml:space="preserve">, 6th ed. (C.H. Beck, 2020), para </w:t>
      </w:r>
      <w:r>
        <w:rPr>
          <w:lang w:val="de-DE"/>
        </w:rPr>
        <w:t>23</w:t>
      </w:r>
      <w:r w:rsidRPr="00CB796C">
        <w:rPr>
          <w:lang w:val="de-DE"/>
        </w:rPr>
        <w:t xml:space="preserve">; </w:t>
      </w:r>
      <w:r>
        <w:rPr>
          <w:lang w:val="de-DE"/>
        </w:rPr>
        <w:t>Kubiciel,</w:t>
      </w:r>
      <w:r w:rsidRPr="0033147B">
        <w:rPr>
          <w:lang w:val="de-DE"/>
        </w:rPr>
        <w:t xml:space="preserve"> “</w:t>
      </w:r>
      <w:r>
        <w:rPr>
          <w:lang w:val="de-DE"/>
        </w:rPr>
        <w:t>Art. 10 EU-RhÜbk.“</w:t>
      </w:r>
      <w:r w:rsidRPr="00CB796C">
        <w:rPr>
          <w:lang w:val="de-DE"/>
        </w:rPr>
        <w:t xml:space="preserve"> in Ambos/König/Rackow</w:t>
      </w:r>
      <w:r>
        <w:rPr>
          <w:lang w:val="de-DE"/>
        </w:rPr>
        <w:t xml:space="preserve"> (Eds.)</w:t>
      </w:r>
      <w:r w:rsidRPr="0033147B">
        <w:rPr>
          <w:lang w:val="de-DE"/>
        </w:rPr>
        <w:t xml:space="preserve">, </w:t>
      </w:r>
      <w:r w:rsidRPr="0033147B">
        <w:rPr>
          <w:i/>
          <w:lang w:val="de-DE"/>
        </w:rPr>
        <w:t>Rechtshilferecht in Strafsachen</w:t>
      </w:r>
      <w:r w:rsidRPr="0033147B">
        <w:rPr>
          <w:lang w:val="de-DE"/>
        </w:rPr>
        <w:t>, 2nd ed</w:t>
      </w:r>
      <w:r>
        <w:rPr>
          <w:lang w:val="de-DE"/>
        </w:rPr>
        <w:t>.</w:t>
      </w:r>
      <w:r w:rsidRPr="00CB796C">
        <w:rPr>
          <w:lang w:val="de-DE"/>
        </w:rPr>
        <w:t xml:space="preserve"> </w:t>
      </w:r>
      <w:r w:rsidRPr="003D3705">
        <w:rPr>
          <w:lang w:val="en-US"/>
        </w:rPr>
        <w:t xml:space="preserve">(Nomos, 2020), chapter 4 para 306; Leonhardt, </w:t>
      </w:r>
      <w:r w:rsidRPr="003D3705">
        <w:rPr>
          <w:i/>
          <w:lang w:val="en-US"/>
        </w:rPr>
        <w:t xml:space="preserve">Die Europäische Ermittlungsanordnung in Strafsachen </w:t>
      </w:r>
      <w:r w:rsidRPr="003D3705">
        <w:rPr>
          <w:lang w:val="en-US"/>
        </w:rPr>
        <w:t xml:space="preserve"> (Springer, 2017), p. 76; </w:t>
      </w:r>
      <w:r>
        <w:rPr>
          <w:lang w:val="en-US"/>
        </w:rPr>
        <w:t xml:space="preserve">according to EJN </w:t>
      </w:r>
      <w:r w:rsidRPr="003D3705">
        <w:rPr>
          <w:lang w:val="en-US"/>
        </w:rPr>
        <w:t xml:space="preserve">however </w:t>
      </w:r>
      <w:r>
        <w:rPr>
          <w:lang w:val="en-US"/>
        </w:rPr>
        <w:t xml:space="preserve">Denmark </w:t>
      </w:r>
      <w:r w:rsidRPr="003D3705">
        <w:rPr>
          <w:lang w:val="en-US"/>
        </w:rPr>
        <w:t xml:space="preserve">does not </w:t>
      </w:r>
      <w:r w:rsidR="00712A8B">
        <w:rPr>
          <w:lang w:val="en-US"/>
        </w:rPr>
        <w:t>grant</w:t>
      </w:r>
      <w:r w:rsidRPr="003D3705">
        <w:rPr>
          <w:lang w:val="en-US"/>
        </w:rPr>
        <w:t xml:space="preserve"> requests for hearing by videoconference involving th</w:t>
      </w:r>
      <w:r>
        <w:rPr>
          <w:lang w:val="en-US"/>
        </w:rPr>
        <w:t>e accused person/suspect:</w:t>
      </w:r>
      <w:r w:rsidRPr="00171426">
        <w:t xml:space="preserve"> </w:t>
      </w:r>
      <w:hyperlink r:id="rId5" w:history="1">
        <w:r w:rsidRPr="00396F8A">
          <w:rPr>
            <w:rStyle w:val="Hyperlink"/>
            <w:lang w:val="en-US"/>
          </w:rPr>
          <w:t>https://www.ejn-crimjust.europa.eu/ejn2021/FichesBelgesDetail/EN/A.12/260/277</w:t>
        </w:r>
      </w:hyperlink>
      <w:r>
        <w:rPr>
          <w:lang w:val="en-US"/>
        </w:rPr>
        <w:t xml:space="preserve"> (last accessed on 13 March 2025). </w:t>
      </w:r>
    </w:p>
  </w:footnote>
  <w:footnote w:id="126">
    <w:p w14:paraId="50A5F5A1" w14:textId="6F16EC27" w:rsidR="00D81F47" w:rsidRPr="00CB796C" w:rsidRDefault="00D81F47" w:rsidP="00882403">
      <w:pPr>
        <w:pStyle w:val="Funotentext"/>
        <w:rPr>
          <w:lang w:val="en-US"/>
        </w:rPr>
      </w:pPr>
      <w:r>
        <w:rPr>
          <w:rStyle w:val="Funotenzeichen"/>
        </w:rPr>
        <w:footnoteRef/>
      </w:r>
      <w:r w:rsidRPr="00705BFF">
        <w:t xml:space="preserve"> See the explanatory memorandum to the law implementing DR 2014/41/EU, Bundestags-Drucksache 18/9757, p. 65; Böse, “§ 91j“ in Grützner/Pötz/Kreß/Gazeas/Brodowski (Eds.), </w:t>
      </w:r>
      <w:r w:rsidRPr="00705BFF">
        <w:rPr>
          <w:i/>
        </w:rPr>
        <w:t>Internationaler Rechtshilfeverkehr in Strafsachen</w:t>
      </w:r>
      <w:r w:rsidRPr="00705BFF">
        <w:t xml:space="preserve">, 3rd ed. </w:t>
      </w:r>
      <w:r w:rsidRPr="00CB796C">
        <w:rPr>
          <w:lang w:val="de-DE"/>
        </w:rPr>
        <w:t>(5</w:t>
      </w:r>
      <w:r>
        <w:rPr>
          <w:lang w:val="de-DE"/>
        </w:rPr>
        <w:t>7th</w:t>
      </w:r>
      <w:r w:rsidRPr="00CB796C">
        <w:rPr>
          <w:lang w:val="de-DE"/>
        </w:rPr>
        <w:t xml:space="preserve"> instal</w:t>
      </w:r>
      <w:r>
        <w:rPr>
          <w:lang w:val="de-DE"/>
        </w:rPr>
        <w:t>l</w:t>
      </w:r>
      <w:r w:rsidRPr="00CB796C">
        <w:rPr>
          <w:lang w:val="de-DE"/>
        </w:rPr>
        <w:t xml:space="preserve">ment, </w:t>
      </w:r>
      <w:r>
        <w:rPr>
          <w:lang w:val="de-DE"/>
        </w:rPr>
        <w:t>C.F. Müller, Jun. 2024</w:t>
      </w:r>
      <w:r w:rsidRPr="00EE04F1">
        <w:rPr>
          <w:lang w:val="de-DE"/>
        </w:rPr>
        <w:t>), para. 11; Trautmann,        “§ 91j</w:t>
      </w:r>
      <w:r>
        <w:rPr>
          <w:lang w:val="de-DE"/>
        </w:rPr>
        <w:t>“</w:t>
      </w:r>
      <w:r w:rsidRPr="00CB796C">
        <w:rPr>
          <w:lang w:val="de-DE"/>
        </w:rPr>
        <w:t xml:space="preserve"> in Schomburg/Lagodny</w:t>
      </w:r>
      <w:r>
        <w:rPr>
          <w:lang w:val="de-DE"/>
        </w:rPr>
        <w:t xml:space="preserve"> (Eds.)</w:t>
      </w:r>
      <w:r w:rsidRPr="00EE04F1">
        <w:rPr>
          <w:lang w:val="de-DE"/>
        </w:rPr>
        <w:t xml:space="preserve">, </w:t>
      </w:r>
      <w:r w:rsidRPr="00EE04F1">
        <w:rPr>
          <w:i/>
          <w:lang w:val="de-DE"/>
        </w:rPr>
        <w:t>Internationale Rechtshilfe in Strafsachen</w:t>
      </w:r>
      <w:r w:rsidRPr="00EE04F1">
        <w:rPr>
          <w:lang w:val="de-DE"/>
        </w:rPr>
        <w:t>, 6th ed</w:t>
      </w:r>
      <w:r>
        <w:rPr>
          <w:lang w:val="de-DE"/>
        </w:rPr>
        <w:t>.</w:t>
      </w:r>
      <w:r w:rsidRPr="00CB796C">
        <w:rPr>
          <w:lang w:val="de-DE"/>
        </w:rPr>
        <w:t xml:space="preserve"> (C.H. Beck, 2020), para 11; Wörner</w:t>
      </w:r>
      <w:r>
        <w:rPr>
          <w:lang w:val="de-DE"/>
        </w:rPr>
        <w:t>,</w:t>
      </w:r>
      <w:r w:rsidRPr="00EE04F1">
        <w:rPr>
          <w:lang w:val="de-DE"/>
        </w:rPr>
        <w:t xml:space="preserve"> “</w:t>
      </w:r>
      <w:r w:rsidRPr="00CB796C">
        <w:rPr>
          <w:lang w:val="de-DE"/>
        </w:rPr>
        <w:t>§ 91c</w:t>
      </w:r>
      <w:r>
        <w:rPr>
          <w:lang w:val="de-DE"/>
        </w:rPr>
        <w:t>“</w:t>
      </w:r>
      <w:r w:rsidRPr="00CB796C">
        <w:rPr>
          <w:lang w:val="de-DE"/>
        </w:rPr>
        <w:t xml:space="preserve"> in Ambos/König/Rackow</w:t>
      </w:r>
      <w:r>
        <w:rPr>
          <w:lang w:val="de-DE"/>
        </w:rPr>
        <w:t xml:space="preserve"> (Eds.)</w:t>
      </w:r>
      <w:r w:rsidRPr="00CB796C">
        <w:rPr>
          <w:lang w:val="de-DE"/>
        </w:rPr>
        <w:t xml:space="preserve">, </w:t>
      </w:r>
      <w:r w:rsidRPr="00CB796C">
        <w:rPr>
          <w:i/>
          <w:lang w:val="de-DE"/>
        </w:rPr>
        <w:t>Rechtshilferecht in Strafsachen</w:t>
      </w:r>
      <w:r w:rsidRPr="00CB796C">
        <w:rPr>
          <w:lang w:val="de-DE"/>
        </w:rPr>
        <w:t>, 2nd ed</w:t>
      </w:r>
      <w:r>
        <w:rPr>
          <w:lang w:val="de-DE"/>
        </w:rPr>
        <w:t>.</w:t>
      </w:r>
      <w:r w:rsidRPr="00CB796C">
        <w:rPr>
          <w:lang w:val="de-DE"/>
        </w:rPr>
        <w:t xml:space="preserve"> </w:t>
      </w:r>
      <w:r w:rsidRPr="00CB796C">
        <w:rPr>
          <w:lang w:val="en-US"/>
        </w:rPr>
        <w:t>(Nomos, 2020), chapter 4 para 571.</w:t>
      </w:r>
    </w:p>
  </w:footnote>
  <w:footnote w:id="127">
    <w:p w14:paraId="14B054B4" w14:textId="49E8DF3A" w:rsidR="00D81F47" w:rsidRPr="00777A20" w:rsidRDefault="00D81F47" w:rsidP="006601C1">
      <w:pPr>
        <w:pStyle w:val="Funotentext"/>
        <w:jc w:val="both"/>
        <w:rPr>
          <w:lang w:val="en-GB"/>
        </w:rPr>
      </w:pPr>
      <w:r>
        <w:rPr>
          <w:rStyle w:val="Funotenzeichen"/>
        </w:rPr>
        <w:footnoteRef/>
      </w:r>
      <w:r w:rsidRPr="00777A20">
        <w:rPr>
          <w:lang w:val="en-GB"/>
        </w:rPr>
        <w:t xml:space="preserve"> </w:t>
      </w:r>
      <w:r w:rsidRPr="00FC725C">
        <w:rPr>
          <w:lang w:val="en-GB"/>
        </w:rPr>
        <w:t xml:space="preserve">The ultimate objective of a prosecution-EAW is surrender to the issuing MS in order to conduct a criminal prosecution (which includes the trial stage). Pending the decision on the execution of a </w:t>
      </w:r>
      <w:r w:rsidRPr="00FC725C">
        <w:rPr>
          <w:i/>
          <w:iCs/>
          <w:lang w:val="en-GB"/>
        </w:rPr>
        <w:t>prosecution</w:t>
      </w:r>
      <w:r w:rsidRPr="00FC725C">
        <w:rPr>
          <w:lang w:val="en-GB"/>
        </w:rPr>
        <w:t xml:space="preserve">-EAW, FD 2002/584/JHA provides for two forms of intermediate judicial cooperation in connection with the prosecution in the issuing MS: hearing the person concerned in the executing MS by a judicial authority of that MS (Art. 18(1)(a) and Art. 19 FD 2002/584/JHA) </w:t>
      </w:r>
      <w:r w:rsidRPr="00FC725C">
        <w:rPr>
          <w:u w:val="single"/>
          <w:lang w:val="en-GB"/>
        </w:rPr>
        <w:t>or</w:t>
      </w:r>
      <w:r w:rsidRPr="00FC725C">
        <w:rPr>
          <w:lang w:val="en-GB"/>
        </w:rPr>
        <w:t xml:space="preserve"> temporarily transferring the person concerned to the issuing MS to be heard there (Art. 19(1)(b) and (2) FD 2002/584/JHA).</w:t>
      </w:r>
      <w:r>
        <w:rPr>
          <w:lang w:val="en-GB"/>
        </w:rPr>
        <w:t xml:space="preserve"> </w:t>
      </w:r>
    </w:p>
  </w:footnote>
  <w:footnote w:id="128">
    <w:p w14:paraId="249D9A6D" w14:textId="12AC4195" w:rsidR="00D81F47" w:rsidRPr="0033147B" w:rsidRDefault="00D81F47" w:rsidP="009779B1">
      <w:pPr>
        <w:pStyle w:val="Funotentext"/>
        <w:rPr>
          <w:lang w:val="en-GB"/>
        </w:rPr>
      </w:pPr>
      <w:r>
        <w:rPr>
          <w:rStyle w:val="Funotenzeichen"/>
        </w:rPr>
        <w:footnoteRef/>
      </w:r>
      <w:r w:rsidRPr="0033147B">
        <w:rPr>
          <w:lang w:val="en-GB"/>
        </w:rPr>
        <w:t xml:space="preserve"> See the explanatory memorandum to the draft on the transposition of FD 2009/829/JHA into German law, Bundestags-Drucks</w:t>
      </w:r>
      <w:r>
        <w:rPr>
          <w:lang w:val="en-US"/>
        </w:rPr>
        <w:t>ache</w:t>
      </w:r>
      <w:r w:rsidRPr="00CB796C">
        <w:rPr>
          <w:lang w:val="en-US"/>
        </w:rPr>
        <w:t xml:space="preserve"> 18/4894, p. 18; Dornbusch</w:t>
      </w:r>
      <w:r>
        <w:rPr>
          <w:lang w:val="en-US"/>
        </w:rPr>
        <w:t>,</w:t>
      </w:r>
      <w:r w:rsidRPr="0033147B">
        <w:rPr>
          <w:lang w:val="en-GB"/>
        </w:rPr>
        <w:t xml:space="preserve"> </w:t>
      </w:r>
      <w:r>
        <w:rPr>
          <w:lang w:val="en-US"/>
        </w:rPr>
        <w:t>“</w:t>
      </w:r>
      <w:r w:rsidRPr="00CB796C">
        <w:rPr>
          <w:lang w:val="en-US"/>
        </w:rPr>
        <w:t>§ 90y</w:t>
      </w:r>
      <w:r>
        <w:rPr>
          <w:lang w:val="en-US"/>
        </w:rPr>
        <w:t>”</w:t>
      </w:r>
      <w:r w:rsidRPr="00CB796C">
        <w:rPr>
          <w:lang w:val="en-US"/>
        </w:rPr>
        <w:t xml:space="preserve"> in Grützner/Pötz/Kreß/Gazeas/Brodowski</w:t>
      </w:r>
      <w:r>
        <w:rPr>
          <w:lang w:val="en-US"/>
        </w:rPr>
        <w:t xml:space="preserve"> (Eds.)</w:t>
      </w:r>
      <w:r w:rsidRPr="0033147B">
        <w:rPr>
          <w:lang w:val="en-GB"/>
        </w:rPr>
        <w:t xml:space="preserve">, </w:t>
      </w:r>
      <w:r w:rsidRPr="0033147B">
        <w:rPr>
          <w:i/>
          <w:lang w:val="en-GB"/>
        </w:rPr>
        <w:t>Internationaler Rechtshilfeverkehr in Strafsachen</w:t>
      </w:r>
      <w:r w:rsidRPr="0033147B">
        <w:rPr>
          <w:lang w:val="en-GB"/>
        </w:rPr>
        <w:t>, 3rd ed</w:t>
      </w:r>
      <w:r>
        <w:rPr>
          <w:lang w:val="en-US"/>
        </w:rPr>
        <w:t>.</w:t>
      </w:r>
      <w:r w:rsidRPr="00CB796C">
        <w:rPr>
          <w:lang w:val="en-US"/>
        </w:rPr>
        <w:t xml:space="preserve"> (5</w:t>
      </w:r>
      <w:r>
        <w:rPr>
          <w:lang w:val="en-US"/>
        </w:rPr>
        <w:t>7</w:t>
      </w:r>
      <w:r w:rsidRPr="00CB796C">
        <w:rPr>
          <w:lang w:val="en-US"/>
        </w:rPr>
        <w:t>th instal</w:t>
      </w:r>
      <w:r>
        <w:rPr>
          <w:lang w:val="en-US"/>
        </w:rPr>
        <w:t>l</w:t>
      </w:r>
      <w:r w:rsidRPr="00CB796C">
        <w:rPr>
          <w:lang w:val="en-US"/>
        </w:rPr>
        <w:t xml:space="preserve">ment, </w:t>
      </w:r>
      <w:r>
        <w:rPr>
          <w:lang w:val="en-US"/>
        </w:rPr>
        <w:t xml:space="preserve">C.F. Müller, </w:t>
      </w:r>
      <w:r>
        <w:rPr>
          <w:lang w:val="en-GB"/>
        </w:rPr>
        <w:t>Jun</w:t>
      </w:r>
      <w:r w:rsidRPr="0033147B">
        <w:rPr>
          <w:lang w:val="en-GB"/>
        </w:rPr>
        <w:t>. 202</w:t>
      </w:r>
      <w:r>
        <w:rPr>
          <w:lang w:val="en-GB"/>
        </w:rPr>
        <w:t>4</w:t>
      </w:r>
      <w:r w:rsidRPr="0033147B">
        <w:rPr>
          <w:lang w:val="en-GB"/>
        </w:rPr>
        <w:t>),  para. 2.</w:t>
      </w:r>
    </w:p>
  </w:footnote>
  <w:footnote w:id="129">
    <w:p w14:paraId="4D39FDC5" w14:textId="2231339D" w:rsidR="00D81F47" w:rsidRPr="0033147B" w:rsidRDefault="00D81F47" w:rsidP="009779B1">
      <w:pPr>
        <w:pStyle w:val="Funotentext"/>
        <w:rPr>
          <w:lang w:val="en-GB"/>
        </w:rPr>
      </w:pPr>
      <w:r>
        <w:rPr>
          <w:rStyle w:val="Funotenzeichen"/>
        </w:rPr>
        <w:footnoteRef/>
      </w:r>
      <w:r w:rsidRPr="0033147B">
        <w:rPr>
          <w:lang w:val="en-GB"/>
        </w:rPr>
        <w:t xml:space="preserve"> See the explanatory memorandum to the draft on the transposition of FD 2009/829/JHA into German law, Bundestags-Drucksache 18/4894, p. 18, 59.</w:t>
      </w:r>
    </w:p>
  </w:footnote>
  <w:footnote w:id="130">
    <w:p w14:paraId="44C954EB" w14:textId="2622C0B9" w:rsidR="00D81F47" w:rsidRPr="0033147B" w:rsidRDefault="00D81F47" w:rsidP="009779B1">
      <w:pPr>
        <w:pStyle w:val="Funotentext"/>
        <w:rPr>
          <w:lang w:val="en-GB"/>
        </w:rPr>
      </w:pPr>
      <w:r>
        <w:rPr>
          <w:rStyle w:val="Funotenzeichen"/>
        </w:rPr>
        <w:footnoteRef/>
      </w:r>
      <w:r w:rsidRPr="00EE04F1">
        <w:rPr>
          <w:lang w:val="de-DE"/>
        </w:rPr>
        <w:t xml:space="preserve"> Dornbusch, “§ 90y” in Grützner/Pötz/Kreß/Gazeas/Brodowski (Eds.), </w:t>
      </w:r>
      <w:r w:rsidRPr="00EE04F1">
        <w:rPr>
          <w:i/>
          <w:lang w:val="de-DE"/>
        </w:rPr>
        <w:t>Internationaler Rechtshilfeverkehr in Strafsachen</w:t>
      </w:r>
      <w:r w:rsidRPr="00EE04F1">
        <w:rPr>
          <w:lang w:val="de-DE"/>
        </w:rPr>
        <w:t xml:space="preserve">, 3rd ed. </w:t>
      </w:r>
      <w:r w:rsidRPr="0033147B">
        <w:rPr>
          <w:lang w:val="en-GB"/>
        </w:rPr>
        <w:t>(5</w:t>
      </w:r>
      <w:r>
        <w:rPr>
          <w:lang w:val="en-GB"/>
        </w:rPr>
        <w:t>7</w:t>
      </w:r>
      <w:r w:rsidRPr="0033147B">
        <w:rPr>
          <w:lang w:val="en-GB"/>
        </w:rPr>
        <w:t>th instal</w:t>
      </w:r>
      <w:r>
        <w:rPr>
          <w:lang w:val="en-GB"/>
        </w:rPr>
        <w:t>l</w:t>
      </w:r>
      <w:r w:rsidRPr="0033147B">
        <w:rPr>
          <w:lang w:val="en-GB"/>
        </w:rPr>
        <w:t xml:space="preserve">ment, C.F. Müller, </w:t>
      </w:r>
      <w:r>
        <w:rPr>
          <w:lang w:val="en-GB"/>
        </w:rPr>
        <w:t>Jun</w:t>
      </w:r>
      <w:r w:rsidRPr="0033147B">
        <w:rPr>
          <w:lang w:val="en-GB"/>
        </w:rPr>
        <w:t>. 202</w:t>
      </w:r>
      <w:r>
        <w:rPr>
          <w:lang w:val="en-GB"/>
        </w:rPr>
        <w:t>4</w:t>
      </w:r>
      <w:r w:rsidRPr="0033147B">
        <w:rPr>
          <w:lang w:val="en-GB"/>
        </w:rPr>
        <w:t>),  para. 2.</w:t>
      </w:r>
    </w:p>
  </w:footnote>
  <w:footnote w:id="131">
    <w:p w14:paraId="59896681" w14:textId="53A77B6C" w:rsidR="00D81F47" w:rsidRPr="00F3063A" w:rsidRDefault="00D81F47" w:rsidP="006601C1">
      <w:pPr>
        <w:pStyle w:val="Funotentext"/>
        <w:jc w:val="both"/>
        <w:rPr>
          <w:lang w:val="en-GB"/>
        </w:rPr>
      </w:pPr>
      <w:r>
        <w:rPr>
          <w:rStyle w:val="Funotenzeichen"/>
        </w:rPr>
        <w:footnoteRef/>
      </w:r>
      <w:r w:rsidRPr="00F3063A">
        <w:rPr>
          <w:lang w:val="en-GB"/>
        </w:rPr>
        <w:t xml:space="preserve"> </w:t>
      </w:r>
      <w:r>
        <w:rPr>
          <w:lang w:val="en-GB"/>
        </w:rPr>
        <w:t>Cf. Case C-255/23 and Case C-285/23.</w:t>
      </w:r>
    </w:p>
  </w:footnote>
  <w:footnote w:id="132">
    <w:p w14:paraId="3D362AB9" w14:textId="1951E1D9" w:rsidR="00D81F47" w:rsidRPr="00EE04F1" w:rsidRDefault="00D81F47" w:rsidP="00F65193">
      <w:pPr>
        <w:pStyle w:val="Funotentext"/>
        <w:rPr>
          <w:lang w:val="de-DE"/>
        </w:rPr>
      </w:pPr>
      <w:r>
        <w:rPr>
          <w:rStyle w:val="Funotenzeichen"/>
        </w:rPr>
        <w:footnoteRef/>
      </w:r>
      <w:r w:rsidRPr="00EE04F1">
        <w:rPr>
          <w:lang w:val="de-DE"/>
        </w:rPr>
        <w:t xml:space="preserve"> Hackner and Schierholt, </w:t>
      </w:r>
      <w:r w:rsidRPr="00EE04F1">
        <w:rPr>
          <w:i/>
          <w:lang w:val="de-DE"/>
        </w:rPr>
        <w:t>Internationale Rechtshilfe in Strafsachen</w:t>
      </w:r>
      <w:r w:rsidRPr="00EE04F1">
        <w:rPr>
          <w:lang w:val="de-DE"/>
        </w:rPr>
        <w:t>, 4th ed. (C.H. Beck, 2023), para 906.</w:t>
      </w:r>
    </w:p>
  </w:footnote>
  <w:footnote w:id="133">
    <w:p w14:paraId="3B004A94" w14:textId="546AEA47" w:rsidR="00D81F47" w:rsidRPr="00CB796C" w:rsidRDefault="00D81F47" w:rsidP="00F65193">
      <w:pPr>
        <w:pStyle w:val="Funotentext"/>
        <w:rPr>
          <w:lang w:val="en-US"/>
        </w:rPr>
      </w:pPr>
      <w:r>
        <w:rPr>
          <w:rStyle w:val="Funotenzeichen"/>
        </w:rPr>
        <w:footnoteRef/>
      </w:r>
      <w:r w:rsidRPr="00EE04F1">
        <w:rPr>
          <w:lang w:val="de-DE"/>
        </w:rPr>
        <w:t xml:space="preserve"> See the explanatory memorandum to the law implementing DR 2014/41/EU, Bundestags-Drucksache 18/9757, p. 65; Böse, “§ 91j” in Grützner/Pötz/Kreß/Gazeas/Brodowski (Eds.), </w:t>
      </w:r>
      <w:r w:rsidRPr="00EE04F1">
        <w:rPr>
          <w:i/>
          <w:lang w:val="de-DE"/>
        </w:rPr>
        <w:t>Internationaler Rechtshilfeverkehr in Strafsachen</w:t>
      </w:r>
      <w:r w:rsidRPr="00EE04F1">
        <w:rPr>
          <w:lang w:val="de-DE"/>
        </w:rPr>
        <w:t>, 3rd ed. (5</w:t>
      </w:r>
      <w:r>
        <w:rPr>
          <w:lang w:val="de-DE"/>
        </w:rPr>
        <w:t>7th</w:t>
      </w:r>
      <w:r w:rsidRPr="00EE04F1">
        <w:rPr>
          <w:lang w:val="de-DE"/>
        </w:rPr>
        <w:t xml:space="preserve"> instal</w:t>
      </w:r>
      <w:r>
        <w:rPr>
          <w:lang w:val="de-DE"/>
        </w:rPr>
        <w:t>l</w:t>
      </w:r>
      <w:r w:rsidRPr="00EE04F1">
        <w:rPr>
          <w:lang w:val="de-DE"/>
        </w:rPr>
        <w:t xml:space="preserve">ment, C.F. Müller, </w:t>
      </w:r>
      <w:r>
        <w:rPr>
          <w:lang w:val="de-DE"/>
        </w:rPr>
        <w:t>Jun. 2024</w:t>
      </w:r>
      <w:r w:rsidRPr="00EE04F1">
        <w:rPr>
          <w:lang w:val="de-DE"/>
        </w:rPr>
        <w:t xml:space="preserve">), para. 11; Trautmann,        “§ 91j” in Schomburg/Lagodny, </w:t>
      </w:r>
      <w:r w:rsidRPr="00EE04F1">
        <w:rPr>
          <w:i/>
          <w:lang w:val="de-DE"/>
        </w:rPr>
        <w:t>Internationale Rechtshilfe in Strafsachen</w:t>
      </w:r>
      <w:r w:rsidRPr="00EE04F1">
        <w:rPr>
          <w:lang w:val="de-DE"/>
        </w:rPr>
        <w:t>, 6th ed. (C.H. Beck, 2020), para 11; Wörner</w:t>
      </w:r>
      <w:r>
        <w:rPr>
          <w:lang w:val="de-DE"/>
        </w:rPr>
        <w:t>,</w:t>
      </w:r>
      <w:r w:rsidRPr="00EE04F1">
        <w:rPr>
          <w:lang w:val="de-DE"/>
        </w:rPr>
        <w:t xml:space="preserve"> </w:t>
      </w:r>
      <w:r>
        <w:rPr>
          <w:lang w:val="de-DE"/>
        </w:rPr>
        <w:t>“</w:t>
      </w:r>
      <w:r w:rsidRPr="00EE04F1">
        <w:rPr>
          <w:lang w:val="de-DE"/>
        </w:rPr>
        <w:t>§ 91c</w:t>
      </w:r>
      <w:r>
        <w:rPr>
          <w:lang w:val="de-DE"/>
        </w:rPr>
        <w:t>“</w:t>
      </w:r>
      <w:r w:rsidRPr="00CB796C">
        <w:rPr>
          <w:lang w:val="de-DE"/>
        </w:rPr>
        <w:t xml:space="preserve"> in Ambos/König/Rackow, </w:t>
      </w:r>
      <w:r w:rsidRPr="00CB796C">
        <w:rPr>
          <w:i/>
          <w:lang w:val="de-DE"/>
        </w:rPr>
        <w:t>Rechtshilferecht in Strafsachen</w:t>
      </w:r>
      <w:r w:rsidRPr="00CB796C">
        <w:rPr>
          <w:lang w:val="de-DE"/>
        </w:rPr>
        <w:t>, 2nd ed</w:t>
      </w:r>
      <w:r>
        <w:rPr>
          <w:lang w:val="de-DE"/>
        </w:rPr>
        <w:t>.</w:t>
      </w:r>
      <w:r w:rsidRPr="00CB796C">
        <w:rPr>
          <w:lang w:val="de-DE"/>
        </w:rPr>
        <w:t xml:space="preserve"> </w:t>
      </w:r>
      <w:r w:rsidRPr="00CB796C">
        <w:rPr>
          <w:lang w:val="en-US"/>
        </w:rPr>
        <w:t>(Nomos, 2020), chapter 4 para 571.</w:t>
      </w:r>
    </w:p>
  </w:footnote>
  <w:footnote w:id="134">
    <w:p w14:paraId="7BB15019" w14:textId="77777777" w:rsidR="00D81F47" w:rsidRPr="00353C2A" w:rsidRDefault="00D81F47" w:rsidP="006601C1">
      <w:pPr>
        <w:pStyle w:val="Funotentext"/>
        <w:jc w:val="both"/>
        <w:rPr>
          <w:lang w:val="en-GB"/>
        </w:rPr>
      </w:pPr>
      <w:r w:rsidRPr="00AA0269">
        <w:rPr>
          <w:rStyle w:val="Funotenzeichen"/>
        </w:rPr>
        <w:footnoteRef/>
      </w:r>
      <w:r w:rsidRPr="00353C2A">
        <w:rPr>
          <w:lang w:val="en-GB"/>
        </w:rPr>
        <w:t xml:space="preserve"> (aa) concerns measures which require the presence of the person concerned, such as interrogation (whether or not by videoconference) or confrontation. For convenience’s sake, we will use ‘interrogation’ as a short hand designation.   </w:t>
      </w:r>
    </w:p>
  </w:footnote>
  <w:footnote w:id="135">
    <w:p w14:paraId="5C5AD1FB" w14:textId="618B7D09" w:rsidR="00D81F47" w:rsidRPr="00353C2A" w:rsidRDefault="00D81F47" w:rsidP="006601C1">
      <w:pPr>
        <w:pStyle w:val="Funotentext"/>
        <w:jc w:val="both"/>
        <w:rPr>
          <w:lang w:val="en-GB"/>
        </w:rPr>
      </w:pPr>
      <w:r w:rsidRPr="00AA0269">
        <w:rPr>
          <w:rStyle w:val="Funotenzeichen"/>
        </w:rPr>
        <w:footnoteRef/>
      </w:r>
      <w:r>
        <w:rPr>
          <w:lang w:val="en-GB"/>
        </w:rPr>
        <w:t xml:space="preserve"> Later on, we wi</w:t>
      </w:r>
      <w:r w:rsidRPr="00353C2A">
        <w:rPr>
          <w:lang w:val="en-GB"/>
        </w:rPr>
        <w:t>ll clarify why the situation in which the person is in the issuing MS is also taken into account.</w:t>
      </w:r>
    </w:p>
  </w:footnote>
  <w:footnote w:id="136">
    <w:p w14:paraId="2336709D" w14:textId="77777777" w:rsidR="00D81F47" w:rsidRPr="00353C2A" w:rsidRDefault="00D81F47" w:rsidP="006601C1">
      <w:pPr>
        <w:pStyle w:val="Funotentext"/>
        <w:jc w:val="both"/>
        <w:rPr>
          <w:lang w:val="en-GB"/>
        </w:rPr>
      </w:pPr>
      <w:r w:rsidRPr="00AA0269">
        <w:rPr>
          <w:rStyle w:val="Funotenzeichen"/>
        </w:rPr>
        <w:footnoteRef/>
      </w:r>
      <w:r w:rsidRPr="00353C2A">
        <w:rPr>
          <w:lang w:val="en-GB"/>
        </w:rPr>
        <w:t xml:space="preserve"> </w:t>
      </w:r>
      <w:r w:rsidRPr="00353C2A">
        <w:rPr>
          <w:i/>
          <w:iCs/>
          <w:lang w:val="en-GB"/>
        </w:rPr>
        <w:t>E.g.</w:t>
      </w:r>
      <w:r w:rsidRPr="00353C2A">
        <w:rPr>
          <w:lang w:val="en-GB"/>
        </w:rPr>
        <w:t>, by summoning the person concerned.</w:t>
      </w:r>
    </w:p>
  </w:footnote>
  <w:footnote w:id="137">
    <w:p w14:paraId="7A8AF61F" w14:textId="77777777" w:rsidR="00D81F47" w:rsidRPr="00353C2A" w:rsidRDefault="00D81F47" w:rsidP="006601C1">
      <w:pPr>
        <w:pStyle w:val="Funotentext"/>
        <w:jc w:val="both"/>
        <w:rPr>
          <w:lang w:val="en-GB"/>
        </w:rPr>
      </w:pPr>
      <w:r w:rsidRPr="00AA0269">
        <w:rPr>
          <w:rStyle w:val="Funotenzeichen"/>
        </w:rPr>
        <w:footnoteRef/>
      </w:r>
      <w:r w:rsidRPr="00353C2A">
        <w:rPr>
          <w:lang w:val="en-GB"/>
        </w:rPr>
        <w:t xml:space="preserve"> Not ‘(cc)’. That designation is reserved for something else. See the introduction to section 2.3.</w:t>
      </w:r>
    </w:p>
  </w:footnote>
  <w:footnote w:id="138">
    <w:p w14:paraId="40110137" w14:textId="0EE7FE57" w:rsidR="00D81F47" w:rsidRPr="00353C2A" w:rsidRDefault="00D81F47" w:rsidP="006601C1">
      <w:pPr>
        <w:pStyle w:val="Funotentext"/>
        <w:jc w:val="both"/>
        <w:rPr>
          <w:lang w:val="en-GB"/>
        </w:rPr>
      </w:pPr>
      <w:r w:rsidRPr="00AA0269">
        <w:rPr>
          <w:rStyle w:val="Funotenzeichen"/>
        </w:rPr>
        <w:footnoteRef/>
      </w:r>
      <w:r w:rsidRPr="00353C2A">
        <w:rPr>
          <w:lang w:val="en-GB"/>
        </w:rPr>
        <w:t xml:space="preserve"> Refer to the relevant provisions of national law and, if necessary, </w:t>
      </w:r>
      <w:r>
        <w:rPr>
          <w:lang w:val="en-GB"/>
        </w:rPr>
        <w:t xml:space="preserve">to national case-law in </w:t>
      </w:r>
      <w:r w:rsidRPr="00353C2A">
        <w:rPr>
          <w:lang w:val="en-GB"/>
        </w:rPr>
        <w:t xml:space="preserve">the footnotes.  </w:t>
      </w:r>
    </w:p>
  </w:footnote>
  <w:footnote w:id="139">
    <w:p w14:paraId="676881DB" w14:textId="77777777" w:rsidR="00D81F47" w:rsidRPr="00353C2A" w:rsidRDefault="00D81F47" w:rsidP="00AA0269">
      <w:pPr>
        <w:pStyle w:val="Funotentext"/>
        <w:jc w:val="both"/>
        <w:rPr>
          <w:lang w:val="en-GB"/>
        </w:rPr>
      </w:pPr>
      <w:r w:rsidRPr="00AA0269">
        <w:rPr>
          <w:rStyle w:val="Funotenzeichen"/>
        </w:rPr>
        <w:footnoteRef/>
      </w:r>
      <w:r w:rsidRPr="00353C2A">
        <w:rPr>
          <w:lang w:val="en-GB"/>
        </w:rPr>
        <w:t xml:space="preserve"> That means that at this point no normative approach as to which considerations should play a role should be used. The normative approach is reserved for the separate memorandum.</w:t>
      </w:r>
    </w:p>
  </w:footnote>
  <w:footnote w:id="140">
    <w:p w14:paraId="2F4A9776" w14:textId="77777777" w:rsidR="00D81F47" w:rsidRPr="00353C2A" w:rsidRDefault="00D81F47" w:rsidP="00AA0269">
      <w:pPr>
        <w:pStyle w:val="Funotentext"/>
        <w:jc w:val="both"/>
        <w:rPr>
          <w:lang w:val="en-GB"/>
        </w:rPr>
      </w:pPr>
      <w:r w:rsidRPr="00AA0269">
        <w:rPr>
          <w:rStyle w:val="Funotenzeichen"/>
        </w:rPr>
        <w:footnoteRef/>
      </w:r>
      <w:r w:rsidRPr="00353C2A">
        <w:rPr>
          <w:lang w:val="en-GB"/>
        </w:rPr>
        <w:t xml:space="preserve"> </w:t>
      </w:r>
      <w:r w:rsidRPr="00353C2A">
        <w:rPr>
          <w:i/>
          <w:iCs/>
          <w:lang w:val="en-GB"/>
        </w:rPr>
        <w:t>OJ</w:t>
      </w:r>
      <w:r w:rsidRPr="00353C2A">
        <w:rPr>
          <w:lang w:val="en-GB"/>
        </w:rPr>
        <w:t xml:space="preserve"> 2023, L 86/44.</w:t>
      </w:r>
    </w:p>
  </w:footnote>
  <w:footnote w:id="141">
    <w:p w14:paraId="5BA148BB" w14:textId="77777777" w:rsidR="00D81F47" w:rsidRPr="00353C2A" w:rsidRDefault="00D81F47" w:rsidP="00AA0269">
      <w:pPr>
        <w:pStyle w:val="Funotentext"/>
        <w:jc w:val="both"/>
        <w:rPr>
          <w:lang w:val="en-GB"/>
        </w:rPr>
      </w:pPr>
      <w:r w:rsidRPr="00AA0269">
        <w:rPr>
          <w:rStyle w:val="Funotenzeichen"/>
        </w:rPr>
        <w:footnoteRef/>
      </w:r>
      <w:r w:rsidRPr="00353C2A">
        <w:rPr>
          <w:lang w:val="en-GB"/>
        </w:rPr>
        <w:t xml:space="preserve"> This calls for an exercise in thinking in scenarios: if the requested form of judicial cooperation does not achieve its intended result, what other form(s) of judicial cooperation will the issuing judicial authority then employ?</w:t>
      </w:r>
    </w:p>
  </w:footnote>
  <w:footnote w:id="142">
    <w:p w14:paraId="557016FB" w14:textId="45CCA618" w:rsidR="00D81F47" w:rsidRPr="00353C2A" w:rsidRDefault="00D81F47" w:rsidP="00AA0269">
      <w:pPr>
        <w:pStyle w:val="Funotentext"/>
        <w:jc w:val="both"/>
        <w:rPr>
          <w:lang w:val="en-US"/>
        </w:rPr>
      </w:pPr>
      <w:r w:rsidRPr="00AA0269">
        <w:rPr>
          <w:rStyle w:val="Funotenzeichen"/>
        </w:rPr>
        <w:footnoteRef/>
      </w:r>
      <w:r w:rsidRPr="00353C2A">
        <w:rPr>
          <w:lang w:val="en-US"/>
        </w:rPr>
        <w:t xml:space="preserve"> See footnote 1</w:t>
      </w:r>
      <w:r>
        <w:rPr>
          <w:lang w:val="en-US"/>
        </w:rPr>
        <w:t>.</w:t>
      </w:r>
    </w:p>
  </w:footnote>
  <w:footnote w:id="143">
    <w:p w14:paraId="113B3DD0" w14:textId="0C1C2192" w:rsidR="00D81F47" w:rsidRPr="0033147B" w:rsidRDefault="00D81F47">
      <w:pPr>
        <w:pStyle w:val="Funotentext"/>
        <w:rPr>
          <w:lang w:val="en-GB"/>
        </w:rPr>
      </w:pPr>
      <w:r>
        <w:rPr>
          <w:rStyle w:val="Funotenzeichen"/>
        </w:rPr>
        <w:footnoteRef/>
      </w:r>
      <w:r w:rsidRPr="0033147B">
        <w:rPr>
          <w:lang w:val="en-GB"/>
        </w:rPr>
        <w:t xml:space="preserve"> Academic expert (interview).</w:t>
      </w:r>
    </w:p>
  </w:footnote>
  <w:footnote w:id="144">
    <w:p w14:paraId="74746088" w14:textId="02B2DE38" w:rsidR="00D81F47" w:rsidRPr="00CB796C" w:rsidRDefault="00D81F47">
      <w:pPr>
        <w:pStyle w:val="Funotentext"/>
        <w:rPr>
          <w:lang w:val="en-US"/>
        </w:rPr>
      </w:pPr>
      <w:r>
        <w:rPr>
          <w:rStyle w:val="Funotenzeichen"/>
        </w:rPr>
        <w:footnoteRef/>
      </w:r>
      <w:r w:rsidRPr="0033147B">
        <w:rPr>
          <w:lang w:val="en-GB"/>
        </w:rPr>
        <w:t xml:space="preserve"> Federal Ministry of Justice (interview); District Court (interview); academic expert</w:t>
      </w:r>
      <w:r w:rsidRPr="00926A8C">
        <w:rPr>
          <w:lang w:val="en-US"/>
        </w:rPr>
        <w:t xml:space="preserve"> (interview)</w:t>
      </w:r>
      <w:r w:rsidRPr="0033147B">
        <w:rPr>
          <w:lang w:val="en-GB"/>
        </w:rPr>
        <w:t xml:space="preserve">; Office of the Prosecutor General (interview); Public Prosecutor’s Office </w:t>
      </w:r>
      <w:r>
        <w:rPr>
          <w:lang w:val="en-GB"/>
        </w:rPr>
        <w:t>I</w:t>
      </w:r>
      <w:r w:rsidRPr="0033147B">
        <w:rPr>
          <w:lang w:val="en-GB"/>
        </w:rPr>
        <w:t xml:space="preserve"> (interview); Public Prosecutor’s Office </w:t>
      </w:r>
      <w:r>
        <w:rPr>
          <w:lang w:val="en-GB"/>
        </w:rPr>
        <w:t>II</w:t>
      </w:r>
      <w:r>
        <w:rPr>
          <w:lang w:val="en-US"/>
        </w:rPr>
        <w:t xml:space="preserve"> (interview)</w:t>
      </w:r>
      <w:r w:rsidRPr="0033147B">
        <w:rPr>
          <w:lang w:val="en-GB"/>
        </w:rPr>
        <w:t xml:space="preserve">; Public Prosecutor’s Office </w:t>
      </w:r>
      <w:r>
        <w:rPr>
          <w:lang w:val="en-GB"/>
        </w:rPr>
        <w:t>III</w:t>
      </w:r>
      <w:r>
        <w:rPr>
          <w:lang w:val="en-US"/>
        </w:rPr>
        <w:t xml:space="preserve"> (interview);</w:t>
      </w:r>
      <w:r w:rsidRPr="00CB796C">
        <w:rPr>
          <w:lang w:val="en-US"/>
        </w:rPr>
        <w:t xml:space="preserve"> Defence Lawyer II</w:t>
      </w:r>
      <w:r>
        <w:rPr>
          <w:lang w:val="en-US"/>
        </w:rPr>
        <w:t>I (interview)</w:t>
      </w:r>
      <w:r w:rsidRPr="0033147B">
        <w:rPr>
          <w:lang w:val="en-GB"/>
        </w:rPr>
        <w:t xml:space="preserve">; </w:t>
      </w:r>
      <w:r>
        <w:rPr>
          <w:lang w:val="en-GB"/>
        </w:rPr>
        <w:t xml:space="preserve">State’s </w:t>
      </w:r>
      <w:r>
        <w:rPr>
          <w:lang w:val="en-US"/>
        </w:rPr>
        <w:t>Ministry of Justice (interview)</w:t>
      </w:r>
      <w:r w:rsidRPr="00CB796C">
        <w:rPr>
          <w:lang w:val="en-US"/>
        </w:rPr>
        <w:t>.</w:t>
      </w:r>
    </w:p>
  </w:footnote>
  <w:footnote w:id="145">
    <w:p w14:paraId="60F2ED2C" w14:textId="240A8FD0" w:rsidR="00D81F47" w:rsidRPr="008A4075" w:rsidRDefault="00D81F47">
      <w:pPr>
        <w:pStyle w:val="Funotentext"/>
        <w:rPr>
          <w:lang w:val="en-US"/>
        </w:rPr>
      </w:pPr>
      <w:r>
        <w:rPr>
          <w:rStyle w:val="Funotenzeichen"/>
        </w:rPr>
        <w:footnoteRef/>
      </w:r>
      <w:r w:rsidRPr="0033147B">
        <w:rPr>
          <w:lang w:val="en-GB"/>
        </w:rPr>
        <w:t xml:space="preserve"> Federal Ministry of Justice (interview); District Court (interview); </w:t>
      </w:r>
      <w:r>
        <w:rPr>
          <w:lang w:val="en-US"/>
        </w:rPr>
        <w:t>Defence Lawyer</w:t>
      </w:r>
      <w:r w:rsidRPr="00CB796C">
        <w:rPr>
          <w:lang w:val="en-US"/>
        </w:rPr>
        <w:t xml:space="preserve"> II</w:t>
      </w:r>
      <w:r>
        <w:rPr>
          <w:lang w:val="en-US"/>
        </w:rPr>
        <w:t>I (interview);</w:t>
      </w:r>
      <w:r w:rsidRPr="00CB796C">
        <w:rPr>
          <w:lang w:val="en-US"/>
        </w:rPr>
        <w:t xml:space="preserve"> </w:t>
      </w:r>
      <w:r>
        <w:rPr>
          <w:lang w:val="en-US"/>
        </w:rPr>
        <w:t>Defence Lawyer II (interview)</w:t>
      </w:r>
      <w:r w:rsidRPr="0033147B">
        <w:rPr>
          <w:lang w:val="en-GB"/>
        </w:rPr>
        <w:t xml:space="preserve">. </w:t>
      </w:r>
      <w:r w:rsidRPr="008A4075">
        <w:rPr>
          <w:lang w:val="en-US"/>
        </w:rPr>
        <w:t xml:space="preserve">A similar view was taken by the </w:t>
      </w:r>
      <w:r>
        <w:rPr>
          <w:lang w:val="en-US"/>
        </w:rPr>
        <w:t>State’s Ministry of Justice (interview)</w:t>
      </w:r>
      <w:r w:rsidRPr="000427FA">
        <w:rPr>
          <w:lang w:val="en-US"/>
        </w:rPr>
        <w:t>.</w:t>
      </w:r>
    </w:p>
  </w:footnote>
  <w:footnote w:id="146">
    <w:p w14:paraId="1087BB8E" w14:textId="464EB74C" w:rsidR="00D81F47" w:rsidRPr="00CB796C" w:rsidRDefault="00D81F47">
      <w:pPr>
        <w:pStyle w:val="Funotentext"/>
        <w:rPr>
          <w:lang w:val="en-US"/>
        </w:rPr>
      </w:pPr>
      <w:r>
        <w:rPr>
          <w:rStyle w:val="Funotenzeichen"/>
        </w:rPr>
        <w:footnoteRef/>
      </w:r>
      <w:r w:rsidRPr="0033147B">
        <w:rPr>
          <w:lang w:val="en-GB"/>
        </w:rPr>
        <w:t xml:space="preserve"> Public Prosecutor’s Office </w:t>
      </w:r>
      <w:r>
        <w:rPr>
          <w:lang w:val="en-GB"/>
        </w:rPr>
        <w:t xml:space="preserve">I </w:t>
      </w:r>
      <w:r w:rsidRPr="0033147B">
        <w:rPr>
          <w:lang w:val="en-GB"/>
        </w:rPr>
        <w:t>(interview)</w:t>
      </w:r>
      <w:r w:rsidRPr="00CB796C">
        <w:rPr>
          <w:lang w:val="en-US"/>
        </w:rPr>
        <w:t xml:space="preserve">; see also </w:t>
      </w:r>
      <w:r w:rsidRPr="000427FA">
        <w:rPr>
          <w:lang w:val="en-US"/>
        </w:rPr>
        <w:t>Office of the Prosecutor General (interview)</w:t>
      </w:r>
      <w:r w:rsidRPr="00CB796C">
        <w:rPr>
          <w:lang w:val="en-US"/>
        </w:rPr>
        <w:t>: not relevant.</w:t>
      </w:r>
    </w:p>
  </w:footnote>
  <w:footnote w:id="147">
    <w:p w14:paraId="3908084F" w14:textId="54DAAB56" w:rsidR="00D81F47" w:rsidRPr="00CB796C" w:rsidRDefault="00D81F47" w:rsidP="00A64E36">
      <w:pPr>
        <w:pStyle w:val="Funotentext"/>
        <w:rPr>
          <w:lang w:val="en-US"/>
        </w:rPr>
      </w:pPr>
      <w:r>
        <w:rPr>
          <w:rStyle w:val="Funotenzeichen"/>
        </w:rPr>
        <w:footnoteRef/>
      </w:r>
      <w:r w:rsidRPr="0033147B">
        <w:rPr>
          <w:lang w:val="en-GB"/>
        </w:rPr>
        <w:t xml:space="preserve"> </w:t>
      </w:r>
      <w:r w:rsidRPr="000427FA">
        <w:rPr>
          <w:lang w:val="en-US"/>
        </w:rPr>
        <w:t>Federal Ministry of Justice (interview)</w:t>
      </w:r>
      <w:r w:rsidRPr="00CB796C">
        <w:rPr>
          <w:lang w:val="en-US"/>
        </w:rPr>
        <w:t xml:space="preserve">; </w:t>
      </w:r>
      <w:r>
        <w:rPr>
          <w:lang w:val="en-US"/>
        </w:rPr>
        <w:t>State’s Ministry of Justice (interview)</w:t>
      </w:r>
      <w:r w:rsidRPr="000427FA">
        <w:rPr>
          <w:lang w:val="en-US"/>
        </w:rPr>
        <w:t>.</w:t>
      </w:r>
    </w:p>
  </w:footnote>
  <w:footnote w:id="148">
    <w:p w14:paraId="6EC1B2A2" w14:textId="63EBDC14" w:rsidR="00D81F47" w:rsidRPr="0033147B" w:rsidRDefault="00D81F47">
      <w:pPr>
        <w:pStyle w:val="Funotentext"/>
        <w:rPr>
          <w:lang w:val="en-GB"/>
        </w:rPr>
      </w:pPr>
      <w:r>
        <w:rPr>
          <w:rStyle w:val="Funotenzeichen"/>
        </w:rPr>
        <w:footnoteRef/>
      </w:r>
      <w:r w:rsidRPr="0033147B">
        <w:rPr>
          <w:lang w:val="en-GB"/>
        </w:rPr>
        <w:t xml:space="preserve"> District Court (interview).</w:t>
      </w:r>
    </w:p>
  </w:footnote>
  <w:footnote w:id="149">
    <w:p w14:paraId="661AD6D6" w14:textId="5466056A" w:rsidR="00D81F47" w:rsidRPr="00AD2A9D" w:rsidRDefault="00D81F47">
      <w:pPr>
        <w:pStyle w:val="Funotentext"/>
        <w:rPr>
          <w:lang w:val="en-US"/>
        </w:rPr>
      </w:pPr>
      <w:r>
        <w:rPr>
          <w:rStyle w:val="Funotenzeichen"/>
        </w:rPr>
        <w:footnoteRef/>
      </w:r>
      <w:r w:rsidRPr="0033147B">
        <w:rPr>
          <w:lang w:val="en-GB"/>
        </w:rPr>
        <w:t xml:space="preserve"> </w:t>
      </w:r>
      <w:r w:rsidRPr="000427FA">
        <w:rPr>
          <w:lang w:val="en-US"/>
        </w:rPr>
        <w:t xml:space="preserve">Public Prosecutor’s Office </w:t>
      </w:r>
      <w:r>
        <w:rPr>
          <w:lang w:val="en-US"/>
        </w:rPr>
        <w:t>II (interview)</w:t>
      </w:r>
      <w:r w:rsidRPr="00AD2A9D">
        <w:rPr>
          <w:lang w:val="en-US"/>
        </w:rPr>
        <w:t>.</w:t>
      </w:r>
    </w:p>
  </w:footnote>
  <w:footnote w:id="150">
    <w:p w14:paraId="780EFEE7" w14:textId="68EA9164" w:rsidR="00D81F47" w:rsidRPr="00CB796C" w:rsidRDefault="00D81F47">
      <w:pPr>
        <w:pStyle w:val="Funotentext"/>
        <w:rPr>
          <w:lang w:val="en-US"/>
        </w:rPr>
      </w:pPr>
      <w:r>
        <w:rPr>
          <w:rStyle w:val="Funotenzeichen"/>
        </w:rPr>
        <w:footnoteRef/>
      </w:r>
      <w:r w:rsidRPr="0033147B">
        <w:rPr>
          <w:lang w:val="en-GB"/>
        </w:rPr>
        <w:t xml:space="preserve"> </w:t>
      </w:r>
      <w:r w:rsidRPr="000427FA">
        <w:rPr>
          <w:lang w:val="en-US"/>
        </w:rPr>
        <w:t xml:space="preserve">Public Prosecutor’s Office </w:t>
      </w:r>
      <w:r>
        <w:rPr>
          <w:lang w:val="en-US"/>
        </w:rPr>
        <w:t>III (interview)</w:t>
      </w:r>
      <w:r w:rsidRPr="00CB796C">
        <w:rPr>
          <w:lang w:val="en-US"/>
        </w:rPr>
        <w:t>.</w:t>
      </w:r>
    </w:p>
  </w:footnote>
  <w:footnote w:id="151">
    <w:p w14:paraId="26630197" w14:textId="7FA37149" w:rsidR="00D81F47" w:rsidRPr="00CB796C" w:rsidRDefault="00D81F47" w:rsidP="005808FB">
      <w:pPr>
        <w:pStyle w:val="Funotentext"/>
        <w:rPr>
          <w:lang w:val="en-US"/>
        </w:rPr>
      </w:pPr>
      <w:r>
        <w:rPr>
          <w:rStyle w:val="Funotenzeichen"/>
        </w:rPr>
        <w:footnoteRef/>
      </w:r>
      <w:r w:rsidRPr="0033147B">
        <w:rPr>
          <w:lang w:val="en-GB"/>
        </w:rPr>
        <w:t xml:space="preserve"> Federal Ministry of Justice (interview); </w:t>
      </w:r>
      <w:r w:rsidRPr="000427FA">
        <w:rPr>
          <w:lang w:val="en-US"/>
        </w:rPr>
        <w:t>Office of the Prosecutor General (interview)</w:t>
      </w:r>
      <w:r w:rsidRPr="00CB796C">
        <w:rPr>
          <w:lang w:val="en-US"/>
        </w:rPr>
        <w:t xml:space="preserve">; </w:t>
      </w:r>
      <w:r w:rsidRPr="000427FA">
        <w:rPr>
          <w:lang w:val="en-US"/>
        </w:rPr>
        <w:t xml:space="preserve">Public Prosecutor’s Office </w:t>
      </w:r>
      <w:r>
        <w:rPr>
          <w:lang w:val="en-US"/>
        </w:rPr>
        <w:t>III (interview)</w:t>
      </w:r>
      <w:r w:rsidRPr="00CB796C">
        <w:rPr>
          <w:lang w:val="en-US"/>
        </w:rPr>
        <w:t xml:space="preserve">; similarly </w:t>
      </w:r>
      <w:r>
        <w:rPr>
          <w:lang w:val="en-US"/>
        </w:rPr>
        <w:t>State’s Ministry of Justice (interview)</w:t>
      </w:r>
      <w:r w:rsidRPr="000427FA">
        <w:rPr>
          <w:lang w:val="en-US"/>
        </w:rPr>
        <w:t>.</w:t>
      </w:r>
    </w:p>
  </w:footnote>
  <w:footnote w:id="152">
    <w:p w14:paraId="76900749" w14:textId="2A232A2D" w:rsidR="00D81F47" w:rsidRPr="00AD2A9D" w:rsidRDefault="00D81F47">
      <w:pPr>
        <w:pStyle w:val="Funotentext"/>
        <w:rPr>
          <w:lang w:val="en-US"/>
        </w:rPr>
      </w:pPr>
      <w:r>
        <w:rPr>
          <w:rStyle w:val="Funotenzeichen"/>
        </w:rPr>
        <w:footnoteRef/>
      </w:r>
      <w:r w:rsidRPr="0033147B">
        <w:rPr>
          <w:lang w:val="en-GB"/>
        </w:rPr>
        <w:t xml:space="preserve"> </w:t>
      </w:r>
      <w:bookmarkStart w:id="134" w:name="_Hlk169698697"/>
      <w:r w:rsidRPr="0033147B">
        <w:rPr>
          <w:lang w:val="en-GB"/>
        </w:rPr>
        <w:t xml:space="preserve">Public Prosecutor’s Office </w:t>
      </w:r>
      <w:r>
        <w:rPr>
          <w:lang w:val="en-GB"/>
        </w:rPr>
        <w:t>III</w:t>
      </w:r>
      <w:r>
        <w:rPr>
          <w:lang w:val="en-US"/>
        </w:rPr>
        <w:t xml:space="preserve"> (interview)</w:t>
      </w:r>
      <w:bookmarkEnd w:id="134"/>
      <w:r w:rsidRPr="00AD2A9D">
        <w:rPr>
          <w:lang w:val="en-US"/>
        </w:rPr>
        <w:t>; similarly District C</w:t>
      </w:r>
      <w:r>
        <w:rPr>
          <w:lang w:val="en-US"/>
        </w:rPr>
        <w:t>ourt (interview).</w:t>
      </w:r>
    </w:p>
  </w:footnote>
  <w:footnote w:id="153">
    <w:p w14:paraId="56892016" w14:textId="2215C895" w:rsidR="00D81F47" w:rsidRPr="0033147B" w:rsidRDefault="00D81F47">
      <w:pPr>
        <w:pStyle w:val="Funotentext"/>
        <w:rPr>
          <w:lang w:val="en-GB"/>
        </w:rPr>
      </w:pPr>
      <w:r>
        <w:rPr>
          <w:rStyle w:val="Funotenzeichen"/>
        </w:rPr>
        <w:footnoteRef/>
      </w:r>
      <w:r w:rsidRPr="0033147B">
        <w:rPr>
          <w:lang w:val="en-GB"/>
        </w:rPr>
        <w:t xml:space="preserve"> Office of the Prosecutor General (interview).</w:t>
      </w:r>
    </w:p>
  </w:footnote>
  <w:footnote w:id="154">
    <w:p w14:paraId="47D3C27F" w14:textId="3A3F1842" w:rsidR="00D81F47" w:rsidRPr="0033147B" w:rsidRDefault="00D81F47">
      <w:pPr>
        <w:pStyle w:val="Funotentext"/>
        <w:rPr>
          <w:lang w:val="en-GB"/>
        </w:rPr>
      </w:pPr>
      <w:r>
        <w:rPr>
          <w:rStyle w:val="Funotenzeichen"/>
        </w:rPr>
        <w:footnoteRef/>
      </w:r>
      <w:r w:rsidRPr="0033147B">
        <w:rPr>
          <w:lang w:val="en-GB"/>
        </w:rPr>
        <w:t xml:space="preserve"> Distr</w:t>
      </w:r>
      <w:r>
        <w:rPr>
          <w:lang w:val="en-US"/>
        </w:rPr>
        <w:t>ict</w:t>
      </w:r>
      <w:r w:rsidRPr="00CB796C">
        <w:rPr>
          <w:lang w:val="en-US"/>
        </w:rPr>
        <w:t xml:space="preserve"> Court (interview); </w:t>
      </w:r>
      <w:r w:rsidRPr="000427FA">
        <w:rPr>
          <w:lang w:val="en-US"/>
        </w:rPr>
        <w:t xml:space="preserve">Public Prosecutor’s Office </w:t>
      </w:r>
      <w:r>
        <w:rPr>
          <w:lang w:val="en-US"/>
        </w:rPr>
        <w:t>III (interview)</w:t>
      </w:r>
      <w:r w:rsidRPr="0033147B">
        <w:rPr>
          <w:lang w:val="en-GB"/>
        </w:rPr>
        <w:t>.</w:t>
      </w:r>
    </w:p>
  </w:footnote>
  <w:footnote w:id="155">
    <w:p w14:paraId="07B42B4E" w14:textId="62E191A9" w:rsidR="00D81F47" w:rsidRPr="0033147B" w:rsidRDefault="00D81F47">
      <w:pPr>
        <w:pStyle w:val="Funotentext"/>
        <w:rPr>
          <w:lang w:val="en-GB"/>
        </w:rPr>
      </w:pPr>
      <w:r>
        <w:rPr>
          <w:rStyle w:val="Funotenzeichen"/>
        </w:rPr>
        <w:footnoteRef/>
      </w:r>
      <w:r w:rsidRPr="0033147B">
        <w:rPr>
          <w:lang w:val="en-GB"/>
        </w:rPr>
        <w:t xml:space="preserve"> Federal Ministry of Justice (interview).</w:t>
      </w:r>
    </w:p>
  </w:footnote>
  <w:footnote w:id="156">
    <w:p w14:paraId="5A12B42F" w14:textId="722E7E2C" w:rsidR="00D81F47" w:rsidRPr="00CB796C" w:rsidRDefault="00D81F47">
      <w:pPr>
        <w:pStyle w:val="Funotentext"/>
        <w:rPr>
          <w:lang w:val="en-US"/>
        </w:rPr>
      </w:pPr>
      <w:r>
        <w:rPr>
          <w:rStyle w:val="Funotenzeichen"/>
        </w:rPr>
        <w:footnoteRef/>
      </w:r>
      <w:r w:rsidRPr="0033147B">
        <w:rPr>
          <w:lang w:val="en-GB"/>
        </w:rPr>
        <w:t xml:space="preserve"> Federal Ministry of Justice (interview); </w:t>
      </w:r>
      <w:r w:rsidRPr="000427FA">
        <w:rPr>
          <w:lang w:val="en-US"/>
        </w:rPr>
        <w:t>Office of the Prosecutor General (interview)</w:t>
      </w:r>
      <w:r w:rsidRPr="00CB796C">
        <w:rPr>
          <w:lang w:val="en-US"/>
        </w:rPr>
        <w:t xml:space="preserve">; </w:t>
      </w:r>
      <w:r w:rsidRPr="000427FA">
        <w:rPr>
          <w:lang w:val="en-US"/>
        </w:rPr>
        <w:t xml:space="preserve">Public Prosecutor’s Office </w:t>
      </w:r>
      <w:r>
        <w:rPr>
          <w:lang w:val="en-US"/>
        </w:rPr>
        <w:t>I (interview);</w:t>
      </w:r>
      <w:r w:rsidRPr="00CB796C">
        <w:rPr>
          <w:lang w:val="en-US"/>
        </w:rPr>
        <w:t xml:space="preserve"> </w:t>
      </w:r>
      <w:r w:rsidRPr="000427FA">
        <w:rPr>
          <w:lang w:val="en-US"/>
        </w:rPr>
        <w:t>Public Prosecutor’s Office</w:t>
      </w:r>
      <w:r>
        <w:rPr>
          <w:lang w:val="en-US"/>
        </w:rPr>
        <w:t xml:space="preserve"> II (interview)</w:t>
      </w:r>
      <w:r w:rsidRPr="0033147B">
        <w:rPr>
          <w:lang w:val="en-GB"/>
        </w:rPr>
        <w:t xml:space="preserve">. A contrary view is taken by </w:t>
      </w:r>
      <w:r w:rsidRPr="000427FA">
        <w:rPr>
          <w:lang w:val="en-US"/>
        </w:rPr>
        <w:t xml:space="preserve">Public Prosecutor’s Office </w:t>
      </w:r>
      <w:r>
        <w:rPr>
          <w:lang w:val="en-US"/>
        </w:rPr>
        <w:t>III (interview)</w:t>
      </w:r>
      <w:r w:rsidRPr="00CB796C">
        <w:rPr>
          <w:lang w:val="en-US"/>
        </w:rPr>
        <w:t>.</w:t>
      </w:r>
    </w:p>
  </w:footnote>
  <w:footnote w:id="157">
    <w:p w14:paraId="55FD1DB7" w14:textId="6919F1E9" w:rsidR="00D81F47" w:rsidRPr="00CB796C" w:rsidRDefault="00D81F47">
      <w:pPr>
        <w:pStyle w:val="Funotentext"/>
        <w:rPr>
          <w:lang w:val="en-US"/>
        </w:rPr>
      </w:pPr>
      <w:r>
        <w:rPr>
          <w:rStyle w:val="Funotenzeichen"/>
        </w:rPr>
        <w:footnoteRef/>
      </w:r>
      <w:r w:rsidRPr="0033147B">
        <w:rPr>
          <w:lang w:val="en-GB"/>
        </w:rPr>
        <w:t xml:space="preserve"> Federal Ministry of Justice (interview)</w:t>
      </w:r>
      <w:r w:rsidRPr="00CB796C">
        <w:rPr>
          <w:lang w:val="en-US"/>
        </w:rPr>
        <w:t>.</w:t>
      </w:r>
    </w:p>
  </w:footnote>
  <w:footnote w:id="158">
    <w:p w14:paraId="36F04363" w14:textId="7CAB447C" w:rsidR="00D81F47" w:rsidRPr="00CB796C" w:rsidRDefault="00D81F47">
      <w:pPr>
        <w:pStyle w:val="Funotentext"/>
        <w:rPr>
          <w:lang w:val="en-US"/>
        </w:rPr>
      </w:pPr>
      <w:r>
        <w:rPr>
          <w:rStyle w:val="Funotenzeichen"/>
        </w:rPr>
        <w:footnoteRef/>
      </w:r>
      <w:r w:rsidRPr="0033147B">
        <w:rPr>
          <w:lang w:val="en-GB"/>
        </w:rPr>
        <w:t xml:space="preserve"> </w:t>
      </w:r>
      <w:r w:rsidRPr="000427FA">
        <w:rPr>
          <w:lang w:val="en-US"/>
        </w:rPr>
        <w:t>Office of the Prosecutor General (interview)</w:t>
      </w:r>
      <w:r w:rsidRPr="00CB796C">
        <w:rPr>
          <w:lang w:val="en-US"/>
        </w:rPr>
        <w:t>.</w:t>
      </w:r>
    </w:p>
  </w:footnote>
  <w:footnote w:id="159">
    <w:p w14:paraId="4E1185A1" w14:textId="32631024" w:rsidR="00D81F47" w:rsidRPr="00CB796C" w:rsidRDefault="00D81F47">
      <w:pPr>
        <w:pStyle w:val="Funotentext"/>
        <w:rPr>
          <w:lang w:val="en-US"/>
        </w:rPr>
      </w:pPr>
      <w:r>
        <w:rPr>
          <w:rStyle w:val="Funotenzeichen"/>
        </w:rPr>
        <w:footnoteRef/>
      </w:r>
      <w:r w:rsidRPr="0033147B">
        <w:rPr>
          <w:lang w:val="en-GB"/>
        </w:rPr>
        <w:t xml:space="preserve"> </w:t>
      </w:r>
      <w:r w:rsidRPr="000427FA">
        <w:rPr>
          <w:lang w:val="en-US"/>
        </w:rPr>
        <w:t xml:space="preserve">Public Prosecutor’s Office </w:t>
      </w:r>
      <w:r>
        <w:rPr>
          <w:lang w:val="en-US"/>
        </w:rPr>
        <w:t>III (interview)</w:t>
      </w:r>
      <w:r w:rsidRPr="00CB796C">
        <w:rPr>
          <w:lang w:val="en-US"/>
        </w:rPr>
        <w:t xml:space="preserve">; </w:t>
      </w:r>
      <w:r w:rsidRPr="000427FA">
        <w:rPr>
          <w:lang w:val="en-US"/>
        </w:rPr>
        <w:t xml:space="preserve">Public Prosecutor’s Office </w:t>
      </w:r>
      <w:r>
        <w:rPr>
          <w:lang w:val="en-US"/>
        </w:rPr>
        <w:t>I (interview)</w:t>
      </w:r>
      <w:r w:rsidRPr="00CB796C">
        <w:rPr>
          <w:lang w:val="en-US"/>
        </w:rPr>
        <w:t>.</w:t>
      </w:r>
    </w:p>
  </w:footnote>
  <w:footnote w:id="160">
    <w:p w14:paraId="0D7D48C1" w14:textId="52965C1C" w:rsidR="00D81F47" w:rsidRPr="00CB796C" w:rsidRDefault="00D81F47">
      <w:pPr>
        <w:pStyle w:val="Funotentext"/>
        <w:rPr>
          <w:lang w:val="en-US"/>
        </w:rPr>
      </w:pPr>
      <w:r>
        <w:rPr>
          <w:rStyle w:val="Funotenzeichen"/>
        </w:rPr>
        <w:footnoteRef/>
      </w:r>
      <w:r w:rsidRPr="0033147B">
        <w:rPr>
          <w:lang w:val="en-GB"/>
        </w:rPr>
        <w:t xml:space="preserve"> </w:t>
      </w:r>
      <w:bookmarkStart w:id="135" w:name="_Hlk173847578"/>
      <w:r>
        <w:rPr>
          <w:lang w:val="en-GB"/>
        </w:rPr>
        <w:t>State’s</w:t>
      </w:r>
      <w:bookmarkEnd w:id="135"/>
      <w:r>
        <w:rPr>
          <w:lang w:val="en-GB"/>
        </w:rPr>
        <w:t xml:space="preserve"> </w:t>
      </w:r>
      <w:r>
        <w:rPr>
          <w:lang w:val="en-US"/>
        </w:rPr>
        <w:t>Ministry of Justice (interview)</w:t>
      </w:r>
      <w:r w:rsidRPr="00CB796C">
        <w:rPr>
          <w:lang w:val="en-US"/>
        </w:rPr>
        <w:t>.</w:t>
      </w:r>
    </w:p>
  </w:footnote>
  <w:footnote w:id="161">
    <w:p w14:paraId="2DDA46E5" w14:textId="0FB15073" w:rsidR="00D81F47" w:rsidRPr="0033147B" w:rsidRDefault="00D81F47">
      <w:pPr>
        <w:pStyle w:val="Funotentext"/>
        <w:rPr>
          <w:lang w:val="en-GB"/>
        </w:rPr>
      </w:pPr>
      <w:r>
        <w:rPr>
          <w:rStyle w:val="Funotenzeichen"/>
        </w:rPr>
        <w:footnoteRef/>
      </w:r>
      <w:r w:rsidRPr="0033147B">
        <w:rPr>
          <w:lang w:val="en-GB"/>
        </w:rPr>
        <w:t xml:space="preserve"> District Court</w:t>
      </w:r>
      <w:r>
        <w:rPr>
          <w:lang w:val="en-US"/>
        </w:rPr>
        <w:t xml:space="preserve"> (interview)</w:t>
      </w:r>
      <w:r w:rsidRPr="0033147B">
        <w:rPr>
          <w:lang w:val="en-GB"/>
        </w:rPr>
        <w:t>.</w:t>
      </w:r>
    </w:p>
  </w:footnote>
  <w:footnote w:id="162">
    <w:p w14:paraId="71904C1B" w14:textId="630BB96D" w:rsidR="00D81F47" w:rsidRPr="0033147B" w:rsidRDefault="00D81F47">
      <w:pPr>
        <w:pStyle w:val="Funotentext"/>
        <w:rPr>
          <w:lang w:val="en-GB"/>
        </w:rPr>
      </w:pPr>
      <w:r>
        <w:rPr>
          <w:rStyle w:val="Funotenzeichen"/>
        </w:rPr>
        <w:footnoteRef/>
      </w:r>
      <w:r w:rsidRPr="0033147B">
        <w:rPr>
          <w:lang w:val="en-GB"/>
        </w:rPr>
        <w:t xml:space="preserve"> Federal Ministry of Justice (interview).</w:t>
      </w:r>
    </w:p>
  </w:footnote>
  <w:footnote w:id="163">
    <w:p w14:paraId="45458AB3" w14:textId="162A6244" w:rsidR="00D81F47" w:rsidRPr="00777A20" w:rsidRDefault="00D81F47" w:rsidP="006601C1">
      <w:pPr>
        <w:pStyle w:val="Funotentext"/>
        <w:jc w:val="both"/>
        <w:rPr>
          <w:lang w:val="en-GB"/>
        </w:rPr>
      </w:pPr>
      <w:r>
        <w:rPr>
          <w:rStyle w:val="Funotenzeichen"/>
        </w:rPr>
        <w:footnoteRef/>
      </w:r>
      <w:r>
        <w:rPr>
          <w:lang w:val="en-GB"/>
        </w:rPr>
        <w:t xml:space="preserve"> ‘(aa)’ does not apply here. The person concerned is present in the issuing MS. Therefore, there is no need to request judicial cooperation to execute investigative/prosecution measures.</w:t>
      </w:r>
    </w:p>
  </w:footnote>
  <w:footnote w:id="164">
    <w:p w14:paraId="07F4DE42" w14:textId="53D56316" w:rsidR="00D81F47" w:rsidRPr="00386999" w:rsidRDefault="00D81F47" w:rsidP="001876E3">
      <w:pPr>
        <w:pStyle w:val="Funotentext"/>
        <w:rPr>
          <w:lang w:val="en-US"/>
        </w:rPr>
      </w:pPr>
      <w:r>
        <w:rPr>
          <w:rStyle w:val="Funotenzeichen"/>
        </w:rPr>
        <w:footnoteRef/>
      </w:r>
      <w:r w:rsidRPr="0033147B">
        <w:rPr>
          <w:lang w:val="en-GB"/>
        </w:rPr>
        <w:t xml:space="preserve"> See the explanatory memorandum, ibid., p. 16; Riegel, “§ 90y IRG” in Schomburg/Lagodny, </w:t>
      </w:r>
      <w:r w:rsidRPr="0033147B">
        <w:rPr>
          <w:i/>
          <w:lang w:val="en-GB"/>
        </w:rPr>
        <w:t>Internationale Rechtshilfe in Strafsachen</w:t>
      </w:r>
      <w:r w:rsidRPr="0033147B">
        <w:rPr>
          <w:lang w:val="en-GB"/>
        </w:rPr>
        <w:t xml:space="preserve">, 6th ed. </w:t>
      </w:r>
      <w:r w:rsidRPr="00386999">
        <w:rPr>
          <w:lang w:val="en-US"/>
        </w:rPr>
        <w:t>(C.H. Beck, 2020), para 2.</w:t>
      </w:r>
    </w:p>
  </w:footnote>
  <w:footnote w:id="165">
    <w:p w14:paraId="2FE5343C" w14:textId="7A0ADB21" w:rsidR="00D81F47" w:rsidRPr="00397F89" w:rsidRDefault="00D81F47" w:rsidP="001876E3">
      <w:pPr>
        <w:pStyle w:val="Funotentext"/>
        <w:rPr>
          <w:lang w:val="en-US"/>
        </w:rPr>
      </w:pPr>
      <w:r>
        <w:rPr>
          <w:rStyle w:val="Funotenzeichen"/>
        </w:rPr>
        <w:footnoteRef/>
      </w:r>
      <w:r w:rsidRPr="00953B8F">
        <w:rPr>
          <w:lang w:val="en-US"/>
        </w:rPr>
        <w:t xml:space="preserve"> See also Morgenstern, “Die Europäische Überwachungsanordnung - Überkomplexes Ungetüm oder sinnvolles Instrument zur Untersuchungshaftvermeidung von Ausländern?“, (2014) </w:t>
      </w:r>
      <w:r w:rsidRPr="00953B8F">
        <w:rPr>
          <w:i/>
          <w:lang w:val="en-US"/>
        </w:rPr>
        <w:t xml:space="preserve">Zeitschrift für Internationale Strafrechtsdogmatik, </w:t>
      </w:r>
      <w:r w:rsidRPr="00953B8F">
        <w:rPr>
          <w:lang w:val="en-US"/>
        </w:rPr>
        <w:t xml:space="preserve">216 (at 227); see also section 171(3) of the draft bill on the reform of the AICCM and the explanatory memorandum </w:t>
      </w:r>
      <w:r w:rsidRPr="00397F89">
        <w:rPr>
          <w:lang w:val="en-US"/>
        </w:rPr>
        <w:t>of the Federal Ministry of Justice, p. 348.</w:t>
      </w:r>
    </w:p>
  </w:footnote>
  <w:footnote w:id="166">
    <w:p w14:paraId="57C11181" w14:textId="66EF562C" w:rsidR="00D81F47" w:rsidRPr="00EE04F1" w:rsidRDefault="00D81F47">
      <w:pPr>
        <w:pStyle w:val="Funotentext"/>
        <w:rPr>
          <w:lang w:val="de-DE"/>
        </w:rPr>
      </w:pPr>
      <w:r>
        <w:rPr>
          <w:rStyle w:val="Funotenzeichen"/>
        </w:rPr>
        <w:footnoteRef/>
      </w:r>
      <w:r w:rsidRPr="00EE04F1">
        <w:rPr>
          <w:lang w:val="de-DE"/>
        </w:rPr>
        <w:t xml:space="preserve"> Morgenstern</w:t>
      </w:r>
      <w:r>
        <w:rPr>
          <w:lang w:val="de-DE"/>
        </w:rPr>
        <w:t>,</w:t>
      </w:r>
      <w:r w:rsidRPr="00EE04F1">
        <w:rPr>
          <w:lang w:val="de-DE"/>
        </w:rPr>
        <w:t xml:space="preserve"> </w:t>
      </w:r>
      <w:r>
        <w:rPr>
          <w:lang w:val="de-DE"/>
        </w:rPr>
        <w:t>"</w:t>
      </w:r>
      <w:r w:rsidRPr="00CB796C">
        <w:rPr>
          <w:lang w:val="de-DE"/>
        </w:rPr>
        <w:t>Die Europäische Überwachungsanordnung - Überkomplexes Ungetüm oder sinnvolles Instrument zur Untersuchungshaftvermeidung von Ausländern?</w:t>
      </w:r>
      <w:r>
        <w:rPr>
          <w:lang w:val="de-DE"/>
        </w:rPr>
        <w:t>“,</w:t>
      </w:r>
      <w:r w:rsidRPr="00EE04F1">
        <w:rPr>
          <w:lang w:val="de-DE"/>
        </w:rPr>
        <w:t xml:space="preserve"> </w:t>
      </w:r>
      <w:r>
        <w:rPr>
          <w:lang w:val="de-DE"/>
        </w:rPr>
        <w:t>(</w:t>
      </w:r>
      <w:r w:rsidRPr="00EE04F1">
        <w:rPr>
          <w:lang w:val="de-DE"/>
        </w:rPr>
        <w:t>2014</w:t>
      </w:r>
      <w:r>
        <w:rPr>
          <w:lang w:val="de-DE"/>
        </w:rPr>
        <w:t>)</w:t>
      </w:r>
      <w:r w:rsidRPr="00EE04F1">
        <w:rPr>
          <w:lang w:val="de-DE"/>
        </w:rPr>
        <w:t xml:space="preserve"> </w:t>
      </w:r>
      <w:r w:rsidRPr="00EE04F1">
        <w:rPr>
          <w:i/>
          <w:lang w:val="de-DE"/>
        </w:rPr>
        <w:t>Zeitschrift für Internationale Strafrechtsdogmatik</w:t>
      </w:r>
      <w:r>
        <w:rPr>
          <w:i/>
          <w:lang w:val="de-DE"/>
        </w:rPr>
        <w:t>,</w:t>
      </w:r>
      <w:r w:rsidRPr="00EE04F1">
        <w:rPr>
          <w:i/>
          <w:lang w:val="de-DE"/>
        </w:rPr>
        <w:t xml:space="preserve"> </w:t>
      </w:r>
      <w:r w:rsidRPr="00EE04F1">
        <w:rPr>
          <w:lang w:val="de-DE"/>
        </w:rPr>
        <w:t>216 (</w:t>
      </w:r>
      <w:r>
        <w:rPr>
          <w:lang w:val="de-DE"/>
        </w:rPr>
        <w:t xml:space="preserve">at </w:t>
      </w:r>
      <w:r w:rsidRPr="00EE04F1">
        <w:rPr>
          <w:lang w:val="de-DE"/>
        </w:rPr>
        <w:t>231-232).</w:t>
      </w:r>
    </w:p>
  </w:footnote>
  <w:footnote w:id="167">
    <w:p w14:paraId="7DF83560" w14:textId="06E30FDB" w:rsidR="00D81F47" w:rsidRPr="0033147B" w:rsidRDefault="00D81F47">
      <w:pPr>
        <w:pStyle w:val="Funotentext"/>
        <w:rPr>
          <w:lang w:val="en-GB"/>
        </w:rPr>
      </w:pPr>
      <w:r>
        <w:rPr>
          <w:rStyle w:val="Funotenzeichen"/>
        </w:rPr>
        <w:footnoteRef/>
      </w:r>
      <w:r w:rsidRPr="0033147B">
        <w:rPr>
          <w:lang w:val="en-GB"/>
        </w:rPr>
        <w:t xml:space="preserve"> CJEU, Judgment of 22 March 2017 – Joined Cases C-124/16, C-188/16 and C-213/16</w:t>
      </w:r>
      <w:r>
        <w:rPr>
          <w:lang w:val="en-US"/>
        </w:rPr>
        <w:t xml:space="preserve">, </w:t>
      </w:r>
      <w:r w:rsidRPr="00CB796C">
        <w:rPr>
          <w:i/>
          <w:iCs/>
          <w:lang w:val="en-US"/>
        </w:rPr>
        <w:t>Tranca, Reiter and Opria</w:t>
      </w:r>
      <w:r w:rsidRPr="00CB796C">
        <w:rPr>
          <w:rFonts w:asciiTheme="majorBidi" w:hAnsiTheme="majorBidi" w:cstheme="majorBidi"/>
          <w:color w:val="000000" w:themeColor="text1"/>
          <w:lang w:val="en-US"/>
        </w:rPr>
        <w:t xml:space="preserve">, </w:t>
      </w:r>
      <w:r w:rsidRPr="00CB796C">
        <w:rPr>
          <w:rFonts w:asciiTheme="majorBidi" w:hAnsiTheme="majorBidi" w:cstheme="majorBidi"/>
          <w:color w:val="000000" w:themeColor="text1"/>
          <w:sz w:val="21"/>
          <w:szCs w:val="21"/>
          <w:shd w:val="clear" w:color="auto" w:fill="FFFFFF"/>
          <w:lang w:val="en-US"/>
        </w:rPr>
        <w:t xml:space="preserve">EU:C:2017:228, </w:t>
      </w:r>
      <w:r w:rsidRPr="00CB796C">
        <w:rPr>
          <w:rFonts w:asciiTheme="majorBidi" w:hAnsiTheme="majorBidi" w:cstheme="majorBidi"/>
          <w:color w:val="000000" w:themeColor="text1"/>
          <w:lang w:val="en-US"/>
        </w:rPr>
        <w:t>para</w:t>
      </w:r>
      <w:r w:rsidRPr="00CB796C">
        <w:rPr>
          <w:color w:val="000000" w:themeColor="text1"/>
          <w:lang w:val="en-US"/>
        </w:rPr>
        <w:t xml:space="preserve"> </w:t>
      </w:r>
      <w:r w:rsidRPr="0033147B">
        <w:rPr>
          <w:lang w:val="en-GB"/>
        </w:rPr>
        <w:t>51.</w:t>
      </w:r>
    </w:p>
  </w:footnote>
  <w:footnote w:id="168">
    <w:p w14:paraId="4167B56B" w14:textId="7050F3DC" w:rsidR="00D81F47" w:rsidRPr="00EE04F1" w:rsidRDefault="00D81F47">
      <w:pPr>
        <w:pStyle w:val="Funotentext"/>
        <w:rPr>
          <w:lang w:val="de-DE"/>
        </w:rPr>
      </w:pPr>
      <w:r>
        <w:rPr>
          <w:rStyle w:val="Funotenzeichen"/>
        </w:rPr>
        <w:footnoteRef/>
      </w:r>
      <w:r w:rsidRPr="00EE04F1">
        <w:rPr>
          <w:lang w:val="de-DE"/>
        </w:rPr>
        <w:t xml:space="preserve"> Seifert</w:t>
      </w:r>
      <w:r>
        <w:rPr>
          <w:lang w:val="de-DE"/>
        </w:rPr>
        <w:t>,</w:t>
      </w:r>
      <w:r w:rsidRPr="00EE04F1">
        <w:rPr>
          <w:lang w:val="de-DE"/>
        </w:rPr>
        <w:t xml:space="preserve"> </w:t>
      </w:r>
      <w:bookmarkStart w:id="143" w:name="_Hlk169860496"/>
      <w:r w:rsidRPr="00EE04F1">
        <w:rPr>
          <w:lang w:val="de-DE"/>
        </w:rPr>
        <w:t>“</w:t>
      </w:r>
      <w:bookmarkEnd w:id="143"/>
      <w:r w:rsidRPr="00CB796C">
        <w:rPr>
          <w:lang w:val="de-DE"/>
        </w:rPr>
        <w:t>Zustellungsvollmacht, Strafbefehlsverfahren und der fair-trial-Grundsatz</w:t>
      </w:r>
      <w:r>
        <w:rPr>
          <w:lang w:val="de-DE"/>
        </w:rPr>
        <w:t>“, (</w:t>
      </w:r>
      <w:r w:rsidRPr="00EE04F1">
        <w:rPr>
          <w:lang w:val="de-DE"/>
        </w:rPr>
        <w:t>2018</w:t>
      </w:r>
      <w:r>
        <w:rPr>
          <w:lang w:val="de-DE"/>
        </w:rPr>
        <w:t>)</w:t>
      </w:r>
      <w:r w:rsidRPr="00EE04F1">
        <w:rPr>
          <w:lang w:val="de-DE"/>
        </w:rPr>
        <w:t xml:space="preserve"> </w:t>
      </w:r>
      <w:r w:rsidRPr="00EE04F1">
        <w:rPr>
          <w:i/>
          <w:lang w:val="de-DE"/>
        </w:rPr>
        <w:t>Strafverteidiger</w:t>
      </w:r>
      <w:r>
        <w:rPr>
          <w:i/>
          <w:lang w:val="de-DE"/>
        </w:rPr>
        <w:t>,</w:t>
      </w:r>
      <w:r w:rsidRPr="00EE04F1">
        <w:rPr>
          <w:i/>
          <w:lang w:val="de-DE"/>
        </w:rPr>
        <w:t xml:space="preserve"> </w:t>
      </w:r>
      <w:r w:rsidRPr="00EE04F1">
        <w:rPr>
          <w:lang w:val="de-DE"/>
        </w:rPr>
        <w:t>123 (</w:t>
      </w:r>
      <w:r>
        <w:rPr>
          <w:lang w:val="de-DE"/>
        </w:rPr>
        <w:t xml:space="preserve">at </w:t>
      </w:r>
      <w:r w:rsidRPr="00EE04F1">
        <w:rPr>
          <w:lang w:val="de-DE"/>
        </w:rPr>
        <w:t>127-128).</w:t>
      </w:r>
    </w:p>
  </w:footnote>
  <w:footnote w:id="169">
    <w:p w14:paraId="2723C879" w14:textId="176ADDEB" w:rsidR="00D81F47" w:rsidRPr="0033147B" w:rsidRDefault="00D81F47">
      <w:pPr>
        <w:pStyle w:val="Funotentext"/>
        <w:rPr>
          <w:lang w:val="en-GB"/>
        </w:rPr>
      </w:pPr>
      <w:r>
        <w:rPr>
          <w:rStyle w:val="Funotenzeichen"/>
        </w:rPr>
        <w:footnoteRef/>
      </w:r>
      <w:r w:rsidRPr="0033147B">
        <w:rPr>
          <w:lang w:val="en-GB"/>
        </w:rPr>
        <w:t xml:space="preserve"> </w:t>
      </w:r>
      <w:r w:rsidRPr="00CB796C">
        <w:rPr>
          <w:lang w:val="en-US"/>
        </w:rPr>
        <w:t>Defence Lawyer</w:t>
      </w:r>
      <w:r w:rsidRPr="0033147B">
        <w:rPr>
          <w:lang w:val="en-GB"/>
        </w:rPr>
        <w:t xml:space="preserve"> </w:t>
      </w:r>
      <w:r>
        <w:rPr>
          <w:lang w:val="en-GB"/>
        </w:rPr>
        <w:t>I</w:t>
      </w:r>
      <w:r w:rsidRPr="0033147B">
        <w:rPr>
          <w:lang w:val="en-GB"/>
        </w:rPr>
        <w:t>II</w:t>
      </w:r>
      <w:r w:rsidRPr="00CB796C">
        <w:rPr>
          <w:lang w:val="en-US"/>
        </w:rPr>
        <w:t xml:space="preserve"> (interview)</w:t>
      </w:r>
      <w:r w:rsidRPr="0033147B">
        <w:rPr>
          <w:lang w:val="en-GB"/>
        </w:rPr>
        <w:t xml:space="preserve">; </w:t>
      </w:r>
      <w:r w:rsidRPr="00CB796C">
        <w:rPr>
          <w:lang w:val="en-US"/>
        </w:rPr>
        <w:t>Defence Lawyer</w:t>
      </w:r>
      <w:r w:rsidRPr="0033147B">
        <w:rPr>
          <w:lang w:val="en-GB"/>
        </w:rPr>
        <w:t xml:space="preserve"> </w:t>
      </w:r>
      <w:r>
        <w:rPr>
          <w:lang w:val="en-GB"/>
        </w:rPr>
        <w:t>II</w:t>
      </w:r>
      <w:r w:rsidRPr="00CB796C">
        <w:rPr>
          <w:lang w:val="en-US"/>
        </w:rPr>
        <w:t xml:space="preserve"> (interview)</w:t>
      </w:r>
      <w:r w:rsidRPr="0033147B">
        <w:rPr>
          <w:lang w:val="en-GB"/>
        </w:rPr>
        <w:t>.</w:t>
      </w:r>
    </w:p>
  </w:footnote>
  <w:footnote w:id="170">
    <w:p w14:paraId="0B9BC8F8" w14:textId="79D048AC" w:rsidR="00D81F47" w:rsidRPr="00CB796C" w:rsidRDefault="00D81F47">
      <w:pPr>
        <w:pStyle w:val="Funotentext"/>
        <w:rPr>
          <w:lang w:val="en-US"/>
        </w:rPr>
      </w:pPr>
      <w:r>
        <w:rPr>
          <w:rStyle w:val="Funotenzeichen"/>
        </w:rPr>
        <w:footnoteRef/>
      </w:r>
      <w:r w:rsidRPr="0033147B">
        <w:rPr>
          <w:lang w:val="en-GB"/>
        </w:rPr>
        <w:t xml:space="preserve"> Federal Ministry of Justice (interview); Public Prosecutor’s Office </w:t>
      </w:r>
      <w:r>
        <w:rPr>
          <w:lang w:val="en-GB"/>
        </w:rPr>
        <w:t>III</w:t>
      </w:r>
      <w:r>
        <w:rPr>
          <w:lang w:val="en-US"/>
        </w:rPr>
        <w:t xml:space="preserve"> (interview)</w:t>
      </w:r>
      <w:r w:rsidRPr="00CB796C">
        <w:rPr>
          <w:lang w:val="en-US"/>
        </w:rPr>
        <w:t>(‘dead horse’).</w:t>
      </w:r>
    </w:p>
  </w:footnote>
  <w:footnote w:id="171">
    <w:p w14:paraId="722DC8E0" w14:textId="158D348E" w:rsidR="00D81F47" w:rsidRPr="00EE04F1" w:rsidRDefault="00D81F47">
      <w:pPr>
        <w:pStyle w:val="Funotentext"/>
        <w:rPr>
          <w:lang w:val="de-DE"/>
        </w:rPr>
      </w:pPr>
      <w:r>
        <w:rPr>
          <w:rStyle w:val="Funotenzeichen"/>
        </w:rPr>
        <w:footnoteRef/>
      </w:r>
      <w:r w:rsidRPr="00EE04F1">
        <w:rPr>
          <w:lang w:val="de-DE"/>
        </w:rPr>
        <w:t xml:space="preserve"> Seifert</w:t>
      </w:r>
      <w:r>
        <w:rPr>
          <w:lang w:val="de-DE"/>
        </w:rPr>
        <w:t>,</w:t>
      </w:r>
      <w:r w:rsidRPr="00EE04F1">
        <w:rPr>
          <w:lang w:val="de-DE"/>
        </w:rPr>
        <w:t xml:space="preserve"> “</w:t>
      </w:r>
      <w:r w:rsidRPr="00CB796C">
        <w:rPr>
          <w:lang w:val="de-DE"/>
        </w:rPr>
        <w:t>Zustellungsvollmacht, Strafbefehlsverfahren und der fair-trial-Grundsatz</w:t>
      </w:r>
      <w:r>
        <w:rPr>
          <w:lang w:val="de-DE"/>
        </w:rPr>
        <w:t>“,</w:t>
      </w:r>
      <w:r w:rsidRPr="00CB796C">
        <w:rPr>
          <w:lang w:val="de-DE"/>
        </w:rPr>
        <w:t xml:space="preserve"> </w:t>
      </w:r>
      <w:r>
        <w:rPr>
          <w:lang w:val="de-DE"/>
        </w:rPr>
        <w:t>(</w:t>
      </w:r>
      <w:r w:rsidRPr="00EE04F1">
        <w:rPr>
          <w:lang w:val="de-DE"/>
        </w:rPr>
        <w:t>2018</w:t>
      </w:r>
      <w:r>
        <w:rPr>
          <w:lang w:val="de-DE"/>
        </w:rPr>
        <w:t>)</w:t>
      </w:r>
      <w:r w:rsidRPr="00EE04F1">
        <w:rPr>
          <w:lang w:val="de-DE"/>
        </w:rPr>
        <w:t xml:space="preserve"> </w:t>
      </w:r>
      <w:r w:rsidRPr="00EE04F1">
        <w:rPr>
          <w:i/>
          <w:lang w:val="de-DE"/>
        </w:rPr>
        <w:t>Strafverteidiger</w:t>
      </w:r>
      <w:r>
        <w:rPr>
          <w:i/>
          <w:lang w:val="de-DE"/>
        </w:rPr>
        <w:t>,</w:t>
      </w:r>
      <w:r w:rsidRPr="00EE04F1">
        <w:rPr>
          <w:i/>
          <w:lang w:val="de-DE"/>
        </w:rPr>
        <w:t xml:space="preserve"> </w:t>
      </w:r>
      <w:r w:rsidRPr="00EE04F1">
        <w:rPr>
          <w:lang w:val="de-DE"/>
        </w:rPr>
        <w:t>123 (</w:t>
      </w:r>
      <w:r>
        <w:rPr>
          <w:lang w:val="de-DE"/>
        </w:rPr>
        <w:t xml:space="preserve">at </w:t>
      </w:r>
      <w:r w:rsidRPr="00EE04F1">
        <w:rPr>
          <w:lang w:val="de-DE"/>
        </w:rPr>
        <w:t>128).</w:t>
      </w:r>
    </w:p>
  </w:footnote>
  <w:footnote w:id="172">
    <w:p w14:paraId="5B0B242C" w14:textId="5AF0728A" w:rsidR="00D81F47" w:rsidRPr="0033147B" w:rsidRDefault="00D81F47" w:rsidP="003E15A0">
      <w:pPr>
        <w:pStyle w:val="Funotentext"/>
        <w:rPr>
          <w:lang w:val="en-GB"/>
        </w:rPr>
      </w:pPr>
      <w:r>
        <w:rPr>
          <w:rStyle w:val="Funotenzeichen"/>
        </w:rPr>
        <w:footnoteRef/>
      </w:r>
      <w:r w:rsidRPr="0033147B">
        <w:rPr>
          <w:lang w:val="en-GB"/>
        </w:rPr>
        <w:t xml:space="preserve"> Regulation (EU) 2023/2844 of the European Parliament and of the Council of 13 December 2023 on the digitali</w:t>
      </w:r>
      <w:r>
        <w:rPr>
          <w:lang w:val="en-US"/>
        </w:rPr>
        <w:t>s</w:t>
      </w:r>
      <w:r w:rsidRPr="00CB796C">
        <w:rPr>
          <w:lang w:val="en-US"/>
        </w:rPr>
        <w:t xml:space="preserve">ation of judicial cooperation and access to justice in cross-border civil, commercial and criminal matters, and amending certain acts in the field of judicial cooperation, </w:t>
      </w:r>
      <w:r w:rsidRPr="00E40716">
        <w:rPr>
          <w:i/>
          <w:lang w:val="en-US"/>
        </w:rPr>
        <w:t>OJ</w:t>
      </w:r>
      <w:r w:rsidRPr="0033147B">
        <w:rPr>
          <w:lang w:val="en-GB"/>
        </w:rPr>
        <w:t xml:space="preserve"> L 2023/2844: Art. 24 inserts Art. 19a Regulation (EU) 2020/1784.</w:t>
      </w:r>
    </w:p>
  </w:footnote>
  <w:footnote w:id="173">
    <w:p w14:paraId="74B07BF9" w14:textId="1994F63E" w:rsidR="00D81F47" w:rsidRPr="00777A20" w:rsidRDefault="00D81F47" w:rsidP="006601C1">
      <w:pPr>
        <w:pStyle w:val="Funotentext"/>
        <w:jc w:val="both"/>
        <w:rPr>
          <w:lang w:val="en-GB"/>
        </w:rPr>
      </w:pPr>
      <w:r>
        <w:rPr>
          <w:rStyle w:val="Funotenzeichen"/>
        </w:rPr>
        <w:footnoteRef/>
      </w:r>
      <w:r w:rsidRPr="00777A20">
        <w:rPr>
          <w:lang w:val="en-GB"/>
        </w:rPr>
        <w:t xml:space="preserve"> </w:t>
      </w:r>
      <w:r w:rsidRPr="00DE69B4">
        <w:rPr>
          <w:lang w:val="en-GB"/>
        </w:rPr>
        <w:t>Please note that Denmark and Ireland are not bound by Directive 2014/41/EU. Please take on board whether this causes problems from the perspective of the “coherent and effective” application of the instruments.</w:t>
      </w:r>
    </w:p>
  </w:footnote>
  <w:footnote w:id="174">
    <w:p w14:paraId="7833A65F" w14:textId="7273128B" w:rsidR="00D81F47" w:rsidRPr="00777A20" w:rsidRDefault="00D81F47" w:rsidP="006601C1">
      <w:pPr>
        <w:pStyle w:val="Funotentext"/>
        <w:jc w:val="both"/>
        <w:rPr>
          <w:lang w:val="en-GB"/>
        </w:rPr>
      </w:pPr>
      <w:r>
        <w:rPr>
          <w:rStyle w:val="Funotenzeichen"/>
        </w:rPr>
        <w:footnoteRef/>
      </w:r>
      <w:r w:rsidRPr="00777A20">
        <w:rPr>
          <w:lang w:val="en-GB"/>
        </w:rPr>
        <w:t xml:space="preserve"> </w:t>
      </w:r>
      <w:r w:rsidRPr="005F4ACA">
        <w:rPr>
          <w:lang w:val="en-GB"/>
        </w:rPr>
        <w:t xml:space="preserve">It should be remembered that a temporary transfer </w:t>
      </w:r>
      <w:r>
        <w:rPr>
          <w:lang w:val="en-GB"/>
        </w:rPr>
        <w:t xml:space="preserve">to the issuing MS </w:t>
      </w:r>
      <w:r w:rsidRPr="005F4ACA">
        <w:rPr>
          <w:lang w:val="en-GB"/>
        </w:rPr>
        <w:t xml:space="preserve">is only possible if the person concerned is in custody in the </w:t>
      </w:r>
      <w:r w:rsidRPr="005F4ACA">
        <w:rPr>
          <w:i/>
          <w:iCs/>
          <w:lang w:val="en-GB"/>
        </w:rPr>
        <w:t>executing</w:t>
      </w:r>
      <w:r w:rsidRPr="005F4ACA">
        <w:rPr>
          <w:lang w:val="en-GB"/>
        </w:rPr>
        <w:t xml:space="preserve"> MS (see p. </w:t>
      </w:r>
      <w:r>
        <w:rPr>
          <w:lang w:val="en-GB"/>
        </w:rPr>
        <w:t>9</w:t>
      </w:r>
      <w:r w:rsidRPr="005F4ACA">
        <w:rPr>
          <w:lang w:val="en-GB"/>
        </w:rPr>
        <w:t>).</w:t>
      </w:r>
    </w:p>
  </w:footnote>
  <w:footnote w:id="175">
    <w:p w14:paraId="6F6B97DC" w14:textId="78C8BC08" w:rsidR="00D81F47" w:rsidRPr="0033147B" w:rsidRDefault="00D81F47" w:rsidP="00451282">
      <w:pPr>
        <w:pStyle w:val="Funotentext"/>
        <w:rPr>
          <w:lang w:val="en-GB"/>
        </w:rPr>
      </w:pPr>
      <w:r>
        <w:rPr>
          <w:rStyle w:val="Funotenzeichen"/>
        </w:rPr>
        <w:footnoteRef/>
      </w:r>
      <w:r w:rsidRPr="0033147B">
        <w:rPr>
          <w:lang w:val="en-GB"/>
        </w:rPr>
        <w:t xml:space="preserve"> Academic expert (interview).</w:t>
      </w:r>
    </w:p>
  </w:footnote>
  <w:footnote w:id="176">
    <w:p w14:paraId="0DADD108" w14:textId="47E289C0" w:rsidR="00D81F47" w:rsidRPr="00CB796C" w:rsidRDefault="00D81F47" w:rsidP="001E76D0">
      <w:pPr>
        <w:pStyle w:val="Funotentext"/>
        <w:rPr>
          <w:rFonts w:asciiTheme="majorBidi" w:hAnsiTheme="majorBidi" w:cstheme="majorBidi"/>
          <w:color w:val="000000" w:themeColor="text1"/>
          <w:lang w:val="en-US"/>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Federal Ministry of Justice (interview).</w:t>
      </w:r>
    </w:p>
  </w:footnote>
  <w:footnote w:id="177">
    <w:p w14:paraId="581A039D" w14:textId="4A74D270" w:rsidR="00D81F47" w:rsidRPr="00CB796C" w:rsidRDefault="00D81F47">
      <w:pPr>
        <w:pStyle w:val="Funotentext"/>
        <w:rPr>
          <w:lang w:val="en-US"/>
        </w:rPr>
      </w:pPr>
      <w:r>
        <w:rPr>
          <w:rStyle w:val="Funotenzeichen"/>
        </w:rPr>
        <w:footnoteRef/>
      </w:r>
      <w:r w:rsidRPr="0033147B">
        <w:rPr>
          <w:lang w:val="en-GB"/>
        </w:rPr>
        <w:t xml:space="preserve"> </w:t>
      </w:r>
      <w:r>
        <w:rPr>
          <w:lang w:val="en-GB"/>
        </w:rPr>
        <w:t>State’s</w:t>
      </w:r>
      <w:r w:rsidDel="001F71DB">
        <w:rPr>
          <w:lang w:val="en-GB"/>
        </w:rPr>
        <w:t xml:space="preserve"> </w:t>
      </w:r>
      <w:r w:rsidRPr="00A87040">
        <w:rPr>
          <w:rFonts w:asciiTheme="majorBidi" w:hAnsiTheme="majorBidi" w:cstheme="majorBidi"/>
          <w:color w:val="000000" w:themeColor="text1"/>
          <w:lang w:val="en-US"/>
        </w:rPr>
        <w:t>Ministry of Justice (interview)</w:t>
      </w:r>
      <w:r w:rsidRPr="00CB796C">
        <w:rPr>
          <w:lang w:val="en-US"/>
        </w:rPr>
        <w:t xml:space="preserve"> reported of corresponding incoming requests.</w:t>
      </w:r>
    </w:p>
  </w:footnote>
  <w:footnote w:id="178">
    <w:p w14:paraId="24C71527" w14:textId="488A2DE7" w:rsidR="00D81F47" w:rsidRPr="00CB796C" w:rsidRDefault="00D81F47" w:rsidP="00F84640">
      <w:pPr>
        <w:pStyle w:val="Funotentext"/>
        <w:rPr>
          <w:rFonts w:asciiTheme="majorBidi" w:hAnsiTheme="majorBidi" w:cstheme="majorBidi"/>
          <w:color w:val="000000" w:themeColor="text1"/>
          <w:lang w:val="en-US"/>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 xml:space="preserve">Public Prosecutor’s Office </w:t>
      </w:r>
      <w:r>
        <w:rPr>
          <w:rFonts w:asciiTheme="majorBidi" w:hAnsiTheme="majorBidi" w:cstheme="majorBidi"/>
          <w:color w:val="000000" w:themeColor="text1"/>
          <w:lang w:val="en-US"/>
        </w:rPr>
        <w:t>I</w:t>
      </w:r>
      <w:r w:rsidRPr="00A87040">
        <w:rPr>
          <w:rFonts w:asciiTheme="majorBidi" w:hAnsiTheme="majorBidi" w:cstheme="majorBidi"/>
          <w:color w:val="000000" w:themeColor="text1"/>
          <w:lang w:val="en-US"/>
        </w:rPr>
        <w:t xml:space="preserve"> (interview); Public Prosecutor’s Office</w:t>
      </w:r>
      <w:r>
        <w:rPr>
          <w:rFonts w:asciiTheme="majorBidi" w:hAnsiTheme="majorBidi" w:cstheme="majorBidi"/>
          <w:color w:val="000000" w:themeColor="text1"/>
          <w:lang w:val="en-US"/>
        </w:rPr>
        <w:t xml:space="preserve"> II</w:t>
      </w:r>
      <w:r w:rsidRPr="00A87040">
        <w:rPr>
          <w:rFonts w:asciiTheme="majorBidi" w:hAnsiTheme="majorBidi" w:cstheme="majorBidi"/>
          <w:color w:val="000000" w:themeColor="text1"/>
          <w:lang w:val="en-US"/>
        </w:rPr>
        <w:t xml:space="preserve"> (interview)</w:t>
      </w:r>
      <w:r>
        <w:rPr>
          <w:rFonts w:asciiTheme="majorBidi" w:hAnsiTheme="majorBidi" w:cstheme="majorBidi"/>
          <w:color w:val="000000" w:themeColor="text1"/>
          <w:lang w:val="en-US"/>
        </w:rPr>
        <w:t xml:space="preserve">; </w:t>
      </w:r>
      <w:r w:rsidRPr="00A87040">
        <w:rPr>
          <w:rFonts w:asciiTheme="majorBidi" w:hAnsiTheme="majorBidi" w:cstheme="majorBidi"/>
          <w:color w:val="000000" w:themeColor="text1"/>
          <w:lang w:val="en-US"/>
        </w:rPr>
        <w:t xml:space="preserve">Public Prosecutor’s Office </w:t>
      </w:r>
      <w:r>
        <w:rPr>
          <w:rFonts w:asciiTheme="majorBidi" w:hAnsiTheme="majorBidi" w:cstheme="majorBidi"/>
          <w:color w:val="000000" w:themeColor="text1"/>
          <w:lang w:val="en-US"/>
        </w:rPr>
        <w:t>III</w:t>
      </w:r>
      <w:r w:rsidRPr="00A87040">
        <w:rPr>
          <w:rFonts w:asciiTheme="majorBidi" w:hAnsiTheme="majorBidi" w:cstheme="majorBidi"/>
          <w:color w:val="000000" w:themeColor="text1"/>
          <w:lang w:val="en-US"/>
        </w:rPr>
        <w:t xml:space="preserve"> (interview).</w:t>
      </w:r>
    </w:p>
  </w:footnote>
  <w:footnote w:id="179">
    <w:p w14:paraId="7F508432" w14:textId="07967DD6" w:rsidR="00D81F47" w:rsidRPr="00CB796C" w:rsidRDefault="00D81F47">
      <w:pPr>
        <w:pStyle w:val="Funotentext"/>
        <w:rPr>
          <w:lang w:val="en-US"/>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Federal Ministry of Justice (interview).</w:t>
      </w:r>
    </w:p>
  </w:footnote>
  <w:footnote w:id="180">
    <w:p w14:paraId="124E24B2" w14:textId="6D4F6227" w:rsidR="00D81F47" w:rsidRPr="00CB796C" w:rsidRDefault="00D81F47" w:rsidP="00E12221">
      <w:pPr>
        <w:pStyle w:val="Funotentext"/>
        <w:rPr>
          <w:lang w:val="en-US"/>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 xml:space="preserve">Public Prosecutor’s Office </w:t>
      </w:r>
      <w:r>
        <w:rPr>
          <w:rFonts w:asciiTheme="majorBidi" w:hAnsiTheme="majorBidi" w:cstheme="majorBidi"/>
          <w:color w:val="000000" w:themeColor="text1"/>
          <w:lang w:val="en-US"/>
        </w:rPr>
        <w:t>I</w:t>
      </w:r>
      <w:r w:rsidRPr="00A87040">
        <w:rPr>
          <w:rFonts w:asciiTheme="majorBidi" w:hAnsiTheme="majorBidi" w:cstheme="majorBidi"/>
          <w:color w:val="000000" w:themeColor="text1"/>
          <w:lang w:val="en-US"/>
        </w:rPr>
        <w:t xml:space="preserve"> (interview); Public Prosecutor’s Office</w:t>
      </w:r>
      <w:r>
        <w:rPr>
          <w:rFonts w:asciiTheme="majorBidi" w:hAnsiTheme="majorBidi" w:cstheme="majorBidi"/>
          <w:color w:val="000000" w:themeColor="text1"/>
          <w:lang w:val="en-US"/>
        </w:rPr>
        <w:t xml:space="preserve"> II</w:t>
      </w:r>
      <w:r w:rsidRPr="00A87040">
        <w:rPr>
          <w:rFonts w:asciiTheme="majorBidi" w:hAnsiTheme="majorBidi" w:cstheme="majorBidi"/>
          <w:color w:val="000000" w:themeColor="text1"/>
          <w:lang w:val="en-US"/>
        </w:rPr>
        <w:t xml:space="preserve"> (interview)</w:t>
      </w:r>
      <w:r>
        <w:rPr>
          <w:rFonts w:asciiTheme="majorBidi" w:hAnsiTheme="majorBidi" w:cstheme="majorBidi"/>
          <w:color w:val="000000" w:themeColor="text1"/>
          <w:lang w:val="en-US"/>
        </w:rPr>
        <w:t xml:space="preserve">. </w:t>
      </w:r>
    </w:p>
  </w:footnote>
  <w:footnote w:id="181">
    <w:p w14:paraId="2C542149" w14:textId="6FC62602" w:rsidR="00D81F47" w:rsidRPr="00CB796C" w:rsidRDefault="00D81F47">
      <w:pPr>
        <w:pStyle w:val="Funotentext"/>
        <w:rPr>
          <w:lang w:val="en-US"/>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Federal Ministry of Justice (interview).</w:t>
      </w:r>
    </w:p>
  </w:footnote>
  <w:footnote w:id="182">
    <w:p w14:paraId="0C73D002" w14:textId="2E4ED503" w:rsidR="00D81F47" w:rsidRPr="0033147B" w:rsidRDefault="00D81F47" w:rsidP="00735CBE">
      <w:pPr>
        <w:pStyle w:val="Funotentext"/>
        <w:rPr>
          <w:lang w:val="en-GB"/>
        </w:rPr>
      </w:pPr>
      <w:r>
        <w:rPr>
          <w:rStyle w:val="Funotenzeichen"/>
        </w:rPr>
        <w:footnoteRef/>
      </w:r>
      <w:r w:rsidRPr="0033147B">
        <w:rPr>
          <w:lang w:val="en-GB"/>
        </w:rPr>
        <w:t xml:space="preserve"> See with regard to summons to the trial: Higher Regional Court Berlin, Decision of 10 November 2010 – 3 Ws 459/10, </w:t>
      </w:r>
      <w:r w:rsidRPr="0078231D">
        <w:rPr>
          <w:lang w:val="nb-NO"/>
        </w:rPr>
        <w:t>(</w:t>
      </w:r>
      <w:r w:rsidRPr="0033147B">
        <w:rPr>
          <w:lang w:val="en-GB"/>
        </w:rPr>
        <w:t>2011</w:t>
      </w:r>
      <w:r w:rsidRPr="0078231D">
        <w:rPr>
          <w:lang w:val="nb-NO"/>
        </w:rPr>
        <w:t>)</w:t>
      </w:r>
      <w:r w:rsidRPr="0033147B">
        <w:rPr>
          <w:lang w:val="en-GB"/>
        </w:rPr>
        <w:t xml:space="preserve"> </w:t>
      </w:r>
      <w:r w:rsidRPr="0033147B">
        <w:rPr>
          <w:i/>
          <w:lang w:val="en-GB"/>
        </w:rPr>
        <w:t>Neue Zeitschrift für Strafrecht</w:t>
      </w:r>
      <w:r w:rsidRPr="0078231D">
        <w:rPr>
          <w:i/>
          <w:lang w:val="nb-NO"/>
        </w:rPr>
        <w:t>,</w:t>
      </w:r>
      <w:r w:rsidRPr="0033147B">
        <w:rPr>
          <w:i/>
          <w:lang w:val="en-GB"/>
        </w:rPr>
        <w:t xml:space="preserve"> </w:t>
      </w:r>
      <w:r w:rsidRPr="0033147B">
        <w:rPr>
          <w:lang w:val="en-GB"/>
        </w:rPr>
        <w:t xml:space="preserve">653 (at 654); Higher Regional Court Karlsruhe Decision of </w:t>
      </w:r>
      <w:r w:rsidRPr="0033147B">
        <w:rPr>
          <w:rStyle w:val="datum"/>
          <w:lang w:val="en-GB"/>
        </w:rPr>
        <w:t>16 September 2014</w:t>
      </w:r>
      <w:r w:rsidRPr="0033147B">
        <w:rPr>
          <w:lang w:val="en-GB"/>
        </w:rPr>
        <w:t xml:space="preserve"> - </w:t>
      </w:r>
      <w:r w:rsidRPr="0033147B">
        <w:rPr>
          <w:rStyle w:val="az"/>
          <w:lang w:val="en-GB"/>
        </w:rPr>
        <w:t xml:space="preserve">2 Ws 334/14, </w:t>
      </w:r>
      <w:r w:rsidRPr="0078231D">
        <w:rPr>
          <w:rStyle w:val="az"/>
          <w:lang w:val="nb-NO"/>
        </w:rPr>
        <w:t>(</w:t>
      </w:r>
      <w:r w:rsidRPr="0033147B">
        <w:rPr>
          <w:rStyle w:val="az"/>
          <w:lang w:val="en-GB"/>
        </w:rPr>
        <w:t>2015</w:t>
      </w:r>
      <w:r>
        <w:rPr>
          <w:rStyle w:val="az"/>
          <w:lang w:val="en-US"/>
        </w:rPr>
        <w:t>)</w:t>
      </w:r>
      <w:r w:rsidRPr="0033147B">
        <w:rPr>
          <w:rStyle w:val="az"/>
          <w:lang w:val="en-GB"/>
        </w:rPr>
        <w:t xml:space="preserve"> </w:t>
      </w:r>
      <w:r w:rsidRPr="0033147B">
        <w:rPr>
          <w:rStyle w:val="az"/>
          <w:i/>
          <w:lang w:val="en-GB"/>
        </w:rPr>
        <w:t>Strafverteidiger</w:t>
      </w:r>
      <w:r>
        <w:rPr>
          <w:rStyle w:val="az"/>
          <w:i/>
          <w:lang w:val="en-US"/>
        </w:rPr>
        <w:t>,</w:t>
      </w:r>
      <w:r w:rsidRPr="0033147B">
        <w:rPr>
          <w:rStyle w:val="az"/>
          <w:i/>
          <w:lang w:val="en-GB"/>
        </w:rPr>
        <w:t xml:space="preserve"> </w:t>
      </w:r>
      <w:r w:rsidRPr="0033147B">
        <w:rPr>
          <w:rStyle w:val="az"/>
          <w:lang w:val="en-GB"/>
        </w:rPr>
        <w:t xml:space="preserve">346. </w:t>
      </w:r>
    </w:p>
  </w:footnote>
  <w:footnote w:id="183">
    <w:p w14:paraId="785C25E9" w14:textId="46BA9A67" w:rsidR="00D81F47" w:rsidRPr="00D006B7" w:rsidRDefault="00D81F47">
      <w:pPr>
        <w:pStyle w:val="Funotentext"/>
        <w:rPr>
          <w:lang w:val="en-GB"/>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Public Prosecutor’s Office</w:t>
      </w:r>
      <w:r>
        <w:rPr>
          <w:rFonts w:asciiTheme="majorBidi" w:hAnsiTheme="majorBidi" w:cstheme="majorBidi"/>
          <w:color w:val="000000" w:themeColor="text1"/>
          <w:lang w:val="en-US"/>
        </w:rPr>
        <w:t xml:space="preserve"> I</w:t>
      </w:r>
      <w:r w:rsidRPr="00A87040">
        <w:rPr>
          <w:rFonts w:asciiTheme="majorBidi" w:hAnsiTheme="majorBidi" w:cstheme="majorBidi"/>
          <w:color w:val="000000" w:themeColor="text1"/>
          <w:lang w:val="en-US"/>
        </w:rPr>
        <w:t xml:space="preserve"> (interview)</w:t>
      </w:r>
      <w:r>
        <w:rPr>
          <w:rFonts w:asciiTheme="majorBidi" w:hAnsiTheme="majorBidi" w:cstheme="majorBidi"/>
          <w:color w:val="000000" w:themeColor="text1"/>
          <w:lang w:val="en-US"/>
        </w:rPr>
        <w:t>.</w:t>
      </w:r>
    </w:p>
  </w:footnote>
  <w:footnote w:id="184">
    <w:p w14:paraId="2AD6BFEE" w14:textId="56B363D1" w:rsidR="00D81F47" w:rsidRPr="0033147B" w:rsidRDefault="00D81F47">
      <w:pPr>
        <w:pStyle w:val="Funotentext"/>
        <w:rPr>
          <w:lang w:val="en-GB"/>
        </w:rPr>
      </w:pPr>
      <w:r>
        <w:rPr>
          <w:rStyle w:val="Funotenzeichen"/>
        </w:rPr>
        <w:footnoteRef/>
      </w:r>
      <w:r w:rsidRPr="0033147B">
        <w:rPr>
          <w:lang w:val="en-GB"/>
        </w:rPr>
        <w:t xml:space="preserve"> </w:t>
      </w:r>
      <w:r w:rsidRPr="00CB796C">
        <w:rPr>
          <w:lang w:val="en-US"/>
        </w:rPr>
        <w:t>Defence Lawyer</w:t>
      </w:r>
      <w:r w:rsidRPr="0033147B">
        <w:rPr>
          <w:lang w:val="en-GB"/>
        </w:rPr>
        <w:t xml:space="preserve"> </w:t>
      </w:r>
      <w:r>
        <w:rPr>
          <w:lang w:val="en-GB"/>
        </w:rPr>
        <w:t>I</w:t>
      </w:r>
      <w:r w:rsidRPr="0033147B">
        <w:rPr>
          <w:lang w:val="en-GB"/>
        </w:rPr>
        <w:t>II</w:t>
      </w:r>
      <w:r w:rsidRPr="00CB796C">
        <w:rPr>
          <w:lang w:val="en-US"/>
        </w:rPr>
        <w:t xml:space="preserve"> (interview)</w:t>
      </w:r>
      <w:r w:rsidRPr="0033147B">
        <w:rPr>
          <w:lang w:val="en-GB"/>
        </w:rPr>
        <w:t>.</w:t>
      </w:r>
    </w:p>
  </w:footnote>
  <w:footnote w:id="185">
    <w:p w14:paraId="2F83240B" w14:textId="67D552E4" w:rsidR="00D81F47" w:rsidRPr="00CB796C" w:rsidRDefault="00D81F47" w:rsidP="004964E5">
      <w:pPr>
        <w:pStyle w:val="Funotentext"/>
        <w:rPr>
          <w:rFonts w:asciiTheme="majorBidi" w:hAnsiTheme="majorBidi" w:cstheme="majorBidi"/>
          <w:color w:val="000000" w:themeColor="text1"/>
          <w:lang w:val="en-US"/>
        </w:rPr>
      </w:pPr>
      <w:r>
        <w:rPr>
          <w:rStyle w:val="Funotenzeichen"/>
        </w:rPr>
        <w:footnoteRef/>
      </w:r>
      <w:r w:rsidRPr="00CB796C">
        <w:rPr>
          <w:lang w:val="en-US"/>
        </w:rPr>
        <w:t xml:space="preserve"> </w:t>
      </w:r>
      <w:r>
        <w:rPr>
          <w:lang w:val="en-GB"/>
        </w:rPr>
        <w:t>State’s</w:t>
      </w:r>
      <w:r w:rsidDel="00027816">
        <w:rPr>
          <w:lang w:val="en-US"/>
        </w:rPr>
        <w:t xml:space="preserve"> </w:t>
      </w:r>
      <w:r w:rsidRPr="00A87040">
        <w:rPr>
          <w:rFonts w:asciiTheme="majorBidi" w:hAnsiTheme="majorBidi" w:cstheme="majorBidi"/>
          <w:color w:val="000000" w:themeColor="text1"/>
          <w:lang w:val="en-US"/>
        </w:rPr>
        <w:t>Ministry of Justice (interview).</w:t>
      </w:r>
      <w:r>
        <w:rPr>
          <w:rFonts w:asciiTheme="majorBidi" w:hAnsiTheme="majorBidi" w:cstheme="majorBidi"/>
          <w:color w:val="000000" w:themeColor="text1"/>
          <w:lang w:val="en-US"/>
        </w:rPr>
        <w:t xml:space="preserve"> </w:t>
      </w:r>
    </w:p>
  </w:footnote>
  <w:footnote w:id="186">
    <w:p w14:paraId="6DC20907" w14:textId="2B949CDC" w:rsidR="00D81F47" w:rsidRPr="00CB796C" w:rsidRDefault="00D81F47">
      <w:pPr>
        <w:pStyle w:val="Funotentext"/>
        <w:rPr>
          <w:lang w:val="en-US"/>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Public Prosecutor’s Office</w:t>
      </w:r>
      <w:r>
        <w:rPr>
          <w:rFonts w:asciiTheme="majorBidi" w:hAnsiTheme="majorBidi" w:cstheme="majorBidi"/>
          <w:color w:val="000000" w:themeColor="text1"/>
          <w:lang w:val="en-US"/>
        </w:rPr>
        <w:t xml:space="preserve"> I</w:t>
      </w:r>
      <w:r w:rsidRPr="00A87040">
        <w:rPr>
          <w:rFonts w:asciiTheme="majorBidi" w:hAnsiTheme="majorBidi" w:cstheme="majorBidi"/>
          <w:color w:val="000000" w:themeColor="text1"/>
          <w:lang w:val="en-US"/>
        </w:rPr>
        <w:t xml:space="preserve"> (interview)</w:t>
      </w:r>
      <w:r>
        <w:rPr>
          <w:rFonts w:asciiTheme="majorBidi" w:hAnsiTheme="majorBidi" w:cstheme="majorBidi"/>
          <w:color w:val="000000" w:themeColor="text1"/>
          <w:lang w:val="en-US"/>
        </w:rPr>
        <w:t>.</w:t>
      </w:r>
    </w:p>
  </w:footnote>
  <w:footnote w:id="187">
    <w:p w14:paraId="3B3EC204" w14:textId="6DA21264" w:rsidR="00D81F47" w:rsidRPr="00CB796C" w:rsidRDefault="00D81F47">
      <w:pPr>
        <w:pStyle w:val="Funotentext"/>
        <w:rPr>
          <w:lang w:val="en-US"/>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Public Prosecutor’s Office</w:t>
      </w:r>
      <w:r>
        <w:rPr>
          <w:rFonts w:asciiTheme="majorBidi" w:hAnsiTheme="majorBidi" w:cstheme="majorBidi"/>
          <w:color w:val="000000" w:themeColor="text1"/>
          <w:lang w:val="en-US"/>
        </w:rPr>
        <w:t xml:space="preserve"> I</w:t>
      </w:r>
      <w:r w:rsidRPr="00A87040">
        <w:rPr>
          <w:rFonts w:asciiTheme="majorBidi" w:hAnsiTheme="majorBidi" w:cstheme="majorBidi"/>
          <w:color w:val="000000" w:themeColor="text1"/>
          <w:lang w:val="en-US"/>
        </w:rPr>
        <w:t xml:space="preserve"> (interview).</w:t>
      </w:r>
    </w:p>
  </w:footnote>
  <w:footnote w:id="188">
    <w:p w14:paraId="6684DEDD" w14:textId="215A8593" w:rsidR="00D81F47" w:rsidRPr="00CB796C" w:rsidRDefault="00D81F47" w:rsidP="00C4532D">
      <w:pPr>
        <w:pStyle w:val="Funotentext"/>
        <w:rPr>
          <w:rFonts w:asciiTheme="majorBidi" w:hAnsiTheme="majorBidi" w:cstheme="majorBidi"/>
          <w:color w:val="000000" w:themeColor="text1"/>
          <w:lang w:val="en-US"/>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Federal Ministry of Justice (interview).</w:t>
      </w:r>
    </w:p>
  </w:footnote>
  <w:footnote w:id="189">
    <w:p w14:paraId="2F7E2444" w14:textId="4316F100" w:rsidR="00D81F47" w:rsidRPr="00CB796C" w:rsidRDefault="00D81F47" w:rsidP="006F5990">
      <w:pPr>
        <w:pStyle w:val="Funotentext"/>
        <w:rPr>
          <w:rFonts w:asciiTheme="majorBidi" w:hAnsiTheme="majorBidi" w:cstheme="majorBidi"/>
          <w:color w:val="000000" w:themeColor="text1"/>
          <w:lang w:val="en-US"/>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Public Prosecutor’s Office</w:t>
      </w:r>
      <w:r>
        <w:rPr>
          <w:rFonts w:asciiTheme="majorBidi" w:hAnsiTheme="majorBidi" w:cstheme="majorBidi"/>
          <w:color w:val="000000" w:themeColor="text1"/>
          <w:lang w:val="en-US"/>
        </w:rPr>
        <w:t xml:space="preserve"> I</w:t>
      </w:r>
      <w:r w:rsidRPr="00A87040">
        <w:rPr>
          <w:rFonts w:asciiTheme="majorBidi" w:hAnsiTheme="majorBidi" w:cstheme="majorBidi"/>
          <w:color w:val="000000" w:themeColor="text1"/>
          <w:lang w:val="en-US"/>
        </w:rPr>
        <w:t xml:space="preserve"> (interview)</w:t>
      </w:r>
      <w:r w:rsidRPr="00CB796C">
        <w:rPr>
          <w:lang w:val="en-US"/>
        </w:rPr>
        <w:t xml:space="preserve">; </w:t>
      </w:r>
      <w:r>
        <w:rPr>
          <w:lang w:val="en-GB"/>
        </w:rPr>
        <w:t>State’s</w:t>
      </w:r>
      <w:r w:rsidDel="00027816">
        <w:rPr>
          <w:lang w:val="en-US"/>
        </w:rPr>
        <w:t xml:space="preserve"> </w:t>
      </w:r>
      <w:r w:rsidRPr="00A87040">
        <w:rPr>
          <w:rFonts w:asciiTheme="majorBidi" w:hAnsiTheme="majorBidi" w:cstheme="majorBidi"/>
          <w:color w:val="000000" w:themeColor="text1"/>
          <w:lang w:val="en-US"/>
        </w:rPr>
        <w:t>Ministry of Justice (interview).</w:t>
      </w:r>
      <w:r>
        <w:rPr>
          <w:rFonts w:asciiTheme="majorBidi" w:hAnsiTheme="majorBidi" w:cstheme="majorBidi"/>
          <w:color w:val="000000" w:themeColor="text1"/>
          <w:lang w:val="en-US"/>
        </w:rPr>
        <w:t xml:space="preserve"> </w:t>
      </w:r>
    </w:p>
  </w:footnote>
  <w:footnote w:id="190">
    <w:p w14:paraId="61263EFF" w14:textId="62285AA0" w:rsidR="00D81F47" w:rsidRPr="00CB796C" w:rsidRDefault="00D81F47">
      <w:pPr>
        <w:pStyle w:val="Funotentext"/>
        <w:rPr>
          <w:lang w:val="en-US"/>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Public Prosecutor’s Office</w:t>
      </w:r>
      <w:r>
        <w:rPr>
          <w:rFonts w:asciiTheme="majorBidi" w:hAnsiTheme="majorBidi" w:cstheme="majorBidi"/>
          <w:color w:val="000000" w:themeColor="text1"/>
          <w:lang w:val="en-US"/>
        </w:rPr>
        <w:t xml:space="preserve"> I</w:t>
      </w:r>
      <w:r w:rsidRPr="00A87040">
        <w:rPr>
          <w:rFonts w:asciiTheme="majorBidi" w:hAnsiTheme="majorBidi" w:cstheme="majorBidi"/>
          <w:color w:val="000000" w:themeColor="text1"/>
          <w:lang w:val="en-US"/>
        </w:rPr>
        <w:t xml:space="preserve"> (interview).</w:t>
      </w:r>
    </w:p>
  </w:footnote>
  <w:footnote w:id="191">
    <w:p w14:paraId="1A1E5E61" w14:textId="4C51542B" w:rsidR="00D81F47" w:rsidRPr="00CB796C" w:rsidRDefault="00D81F47" w:rsidP="009763E3">
      <w:pPr>
        <w:pStyle w:val="Funotentext"/>
        <w:rPr>
          <w:rFonts w:asciiTheme="majorBidi" w:hAnsiTheme="majorBidi" w:cstheme="majorBidi"/>
          <w:color w:val="000000" w:themeColor="text1"/>
          <w:lang w:val="en-US"/>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 xml:space="preserve">Public Prosecutor’s Office </w:t>
      </w:r>
      <w:r>
        <w:rPr>
          <w:rFonts w:asciiTheme="majorBidi" w:hAnsiTheme="majorBidi" w:cstheme="majorBidi"/>
          <w:color w:val="000000" w:themeColor="text1"/>
          <w:lang w:val="en-US"/>
        </w:rPr>
        <w:t>III</w:t>
      </w:r>
      <w:r w:rsidRPr="00A87040">
        <w:rPr>
          <w:rFonts w:asciiTheme="majorBidi" w:hAnsiTheme="majorBidi" w:cstheme="majorBidi"/>
          <w:color w:val="000000" w:themeColor="text1"/>
          <w:lang w:val="en-US"/>
        </w:rPr>
        <w:t xml:space="preserve"> (interview)</w:t>
      </w:r>
      <w:r w:rsidRPr="00CB796C">
        <w:rPr>
          <w:lang w:val="en-US"/>
        </w:rPr>
        <w:t xml:space="preserve">; </w:t>
      </w:r>
      <w:r>
        <w:rPr>
          <w:lang w:val="en-US"/>
        </w:rPr>
        <w:t>Defence Lawyer I</w:t>
      </w:r>
      <w:r w:rsidRPr="00CB796C">
        <w:rPr>
          <w:lang w:val="en-US"/>
        </w:rPr>
        <w:t>II</w:t>
      </w:r>
      <w:r>
        <w:rPr>
          <w:lang w:val="en-US"/>
        </w:rPr>
        <w:t xml:space="preserve"> (interview)</w:t>
      </w:r>
      <w:r w:rsidRPr="0033147B">
        <w:rPr>
          <w:lang w:val="en-GB"/>
        </w:rPr>
        <w:t xml:space="preserve">; </w:t>
      </w:r>
      <w:r>
        <w:rPr>
          <w:lang w:val="en-GB"/>
        </w:rPr>
        <w:t>State’s</w:t>
      </w:r>
      <w:r w:rsidDel="00027816">
        <w:rPr>
          <w:lang w:val="en-GB"/>
        </w:rPr>
        <w:t xml:space="preserve"> </w:t>
      </w:r>
      <w:r w:rsidRPr="00A87040">
        <w:rPr>
          <w:rFonts w:asciiTheme="majorBidi" w:hAnsiTheme="majorBidi" w:cstheme="majorBidi"/>
          <w:color w:val="000000" w:themeColor="text1"/>
          <w:lang w:val="en-US"/>
        </w:rPr>
        <w:t>Ministry of Justice (interview)</w:t>
      </w:r>
      <w:r>
        <w:rPr>
          <w:rFonts w:asciiTheme="majorBidi" w:hAnsiTheme="majorBidi" w:cstheme="majorBidi"/>
          <w:color w:val="000000" w:themeColor="text1"/>
          <w:lang w:val="en-US"/>
        </w:rPr>
        <w:t xml:space="preserve">. </w:t>
      </w:r>
    </w:p>
  </w:footnote>
  <w:footnote w:id="192">
    <w:p w14:paraId="38B34501" w14:textId="71CE2BC7" w:rsidR="00D81F47" w:rsidRPr="00CB796C" w:rsidRDefault="00D81F47" w:rsidP="00137A5F">
      <w:pPr>
        <w:pStyle w:val="Funotentext"/>
        <w:rPr>
          <w:rFonts w:asciiTheme="majorBidi" w:hAnsiTheme="majorBidi" w:cstheme="majorBidi"/>
          <w:color w:val="000000" w:themeColor="text1"/>
          <w:lang w:val="en-US"/>
        </w:rPr>
      </w:pPr>
      <w:r>
        <w:rPr>
          <w:rStyle w:val="Funotenzeichen"/>
        </w:rPr>
        <w:footnoteRef/>
      </w:r>
      <w:r w:rsidRPr="0033147B">
        <w:rPr>
          <w:lang w:val="en-GB"/>
        </w:rPr>
        <w:t xml:space="preserve"> </w:t>
      </w:r>
      <w:r>
        <w:rPr>
          <w:lang w:val="en-GB"/>
        </w:rPr>
        <w:t>State’s</w:t>
      </w:r>
      <w:r w:rsidDel="00027816">
        <w:rPr>
          <w:lang w:val="en-GB"/>
        </w:rPr>
        <w:t xml:space="preserve"> </w:t>
      </w:r>
      <w:r w:rsidRPr="00A87040">
        <w:rPr>
          <w:rFonts w:asciiTheme="majorBidi" w:hAnsiTheme="majorBidi" w:cstheme="majorBidi"/>
          <w:color w:val="000000" w:themeColor="text1"/>
          <w:lang w:val="en-US"/>
        </w:rPr>
        <w:t>Ministry of Justice (interview).</w:t>
      </w:r>
      <w:r>
        <w:rPr>
          <w:rFonts w:asciiTheme="majorBidi" w:hAnsiTheme="majorBidi" w:cstheme="majorBidi"/>
          <w:color w:val="000000" w:themeColor="text1"/>
          <w:lang w:val="en-US"/>
        </w:rPr>
        <w:t xml:space="preserve"> </w:t>
      </w:r>
    </w:p>
  </w:footnote>
  <w:footnote w:id="193">
    <w:p w14:paraId="3831BF33" w14:textId="54E0D59B" w:rsidR="00D81F47" w:rsidRPr="00777A20" w:rsidRDefault="00D81F47" w:rsidP="006601C1">
      <w:pPr>
        <w:pStyle w:val="Funotentext"/>
        <w:jc w:val="both"/>
        <w:rPr>
          <w:lang w:val="en-GB"/>
        </w:rPr>
      </w:pPr>
      <w:r>
        <w:rPr>
          <w:rStyle w:val="Funotenzeichen"/>
        </w:rPr>
        <w:footnoteRef/>
      </w:r>
      <w:r w:rsidRPr="00777A20">
        <w:rPr>
          <w:lang w:val="en-GB"/>
        </w:rPr>
        <w:t xml:space="preserve"> </w:t>
      </w:r>
      <w:r w:rsidRPr="00711384">
        <w:rPr>
          <w:lang w:val="en-GB"/>
        </w:rPr>
        <w:t>‘(aa)’ does not apply here. The person concerned is present in the issuing MS. Therefore, there is no need to request judicial cooperation to execute investigative/prosecution measures.</w:t>
      </w:r>
    </w:p>
  </w:footnote>
  <w:footnote w:id="194">
    <w:p w14:paraId="5BF43955" w14:textId="1AF18BFF" w:rsidR="00D81F47" w:rsidRPr="00CB796C" w:rsidRDefault="00D81F47">
      <w:pPr>
        <w:pStyle w:val="Funotentext"/>
        <w:rPr>
          <w:lang w:val="en-US"/>
        </w:rPr>
      </w:pPr>
      <w:r>
        <w:rPr>
          <w:rStyle w:val="Funotenzeichen"/>
        </w:rPr>
        <w:footnoteRef/>
      </w:r>
      <w:r w:rsidRPr="00EE04F1">
        <w:rPr>
          <w:lang w:val="de-DE"/>
        </w:rPr>
        <w:t xml:space="preserve"> Esser, “Europäische Initiativen zur Begrenzung der Untersuchungshaft” in Joerden and Swarzc (</w:t>
      </w:r>
      <w:r>
        <w:rPr>
          <w:lang w:val="de-DE"/>
        </w:rPr>
        <w:t>E</w:t>
      </w:r>
      <w:r w:rsidRPr="00CB796C">
        <w:rPr>
          <w:lang w:val="de-DE"/>
        </w:rPr>
        <w:t>ds</w:t>
      </w:r>
      <w:r>
        <w:rPr>
          <w:lang w:val="de-DE"/>
        </w:rPr>
        <w:t>.</w:t>
      </w:r>
      <w:r w:rsidRPr="00EE04F1">
        <w:rPr>
          <w:lang w:val="de-DE"/>
        </w:rPr>
        <w:t xml:space="preserve">), </w:t>
      </w:r>
      <w:r w:rsidRPr="00EE04F1">
        <w:rPr>
          <w:i/>
          <w:lang w:val="de-DE"/>
        </w:rPr>
        <w:t xml:space="preserve">Europäisierung des Strafrechts in Polen und Deutschland – rechtsstaatliche Grundlagen </w:t>
      </w:r>
      <w:r w:rsidRPr="00EE04F1">
        <w:rPr>
          <w:lang w:val="de-DE"/>
        </w:rPr>
        <w:t>(Duncker &amp; Humblot, 2007), p. 233 (</w:t>
      </w:r>
      <w:r>
        <w:rPr>
          <w:lang w:val="de-DE"/>
        </w:rPr>
        <w:t xml:space="preserve">at </w:t>
      </w:r>
      <w:r w:rsidRPr="00EE04F1">
        <w:rPr>
          <w:lang w:val="de-DE"/>
        </w:rPr>
        <w:t>249); Morgenstern</w:t>
      </w:r>
      <w:r>
        <w:rPr>
          <w:lang w:val="de-DE"/>
        </w:rPr>
        <w:t>,</w:t>
      </w:r>
      <w:r w:rsidRPr="00EE04F1">
        <w:rPr>
          <w:lang w:val="de-DE"/>
        </w:rPr>
        <w:t xml:space="preserve"> “</w:t>
      </w:r>
      <w:r w:rsidRPr="00CB796C">
        <w:rPr>
          <w:lang w:val="de-DE"/>
        </w:rPr>
        <w:t>§ 15 Vollstreckungshilfe</w:t>
      </w:r>
      <w:r>
        <w:rPr>
          <w:lang w:val="de-DE"/>
        </w:rPr>
        <w:t>“</w:t>
      </w:r>
      <w:r w:rsidRPr="00CB796C">
        <w:rPr>
          <w:lang w:val="de-DE"/>
        </w:rPr>
        <w:t xml:space="preserve"> in Böse (</w:t>
      </w:r>
      <w:r>
        <w:rPr>
          <w:lang w:val="de-DE"/>
        </w:rPr>
        <w:t>E</w:t>
      </w:r>
      <w:r w:rsidRPr="00CB796C">
        <w:rPr>
          <w:lang w:val="de-DE"/>
        </w:rPr>
        <w:t>d</w:t>
      </w:r>
      <w:r>
        <w:rPr>
          <w:lang w:val="de-DE"/>
        </w:rPr>
        <w:t>.</w:t>
      </w:r>
      <w:r w:rsidRPr="00EE04F1">
        <w:rPr>
          <w:lang w:val="de-DE"/>
        </w:rPr>
        <w:t>)</w:t>
      </w:r>
      <w:r>
        <w:rPr>
          <w:lang w:val="de-DE"/>
        </w:rPr>
        <w:t>,</w:t>
      </w:r>
      <w:r w:rsidRPr="00EE04F1">
        <w:rPr>
          <w:lang w:val="de-DE"/>
        </w:rPr>
        <w:t xml:space="preserve"> </w:t>
      </w:r>
      <w:r w:rsidRPr="00EE04F1">
        <w:rPr>
          <w:i/>
          <w:lang w:val="de-DE"/>
        </w:rPr>
        <w:t>Europäisches Strafrecht</w:t>
      </w:r>
      <w:r w:rsidRPr="00EE04F1">
        <w:rPr>
          <w:lang w:val="de-DE"/>
        </w:rPr>
        <w:t>, 2nd ed</w:t>
      </w:r>
      <w:r>
        <w:rPr>
          <w:lang w:val="de-DE"/>
        </w:rPr>
        <w:t>.</w:t>
      </w:r>
      <w:r w:rsidRPr="00CB796C">
        <w:rPr>
          <w:lang w:val="de-DE"/>
        </w:rPr>
        <w:t xml:space="preserve"> </w:t>
      </w:r>
      <w:r w:rsidRPr="00CB796C">
        <w:rPr>
          <w:lang w:val="en-US"/>
        </w:rPr>
        <w:t>(Nomos, 2021), para 120.</w:t>
      </w:r>
    </w:p>
  </w:footnote>
  <w:footnote w:id="195">
    <w:p w14:paraId="1A1CB577" w14:textId="5D108B3C" w:rsidR="00D81F47" w:rsidRPr="0033147B" w:rsidRDefault="00D81F47">
      <w:pPr>
        <w:pStyle w:val="Funotentext"/>
        <w:rPr>
          <w:lang w:val="en-GB"/>
        </w:rPr>
      </w:pPr>
      <w:r>
        <w:rPr>
          <w:rStyle w:val="Funotenzeichen"/>
        </w:rPr>
        <w:footnoteRef/>
      </w:r>
      <w:r w:rsidRPr="0033147B">
        <w:rPr>
          <w:lang w:val="en-GB"/>
        </w:rPr>
        <w:t xml:space="preserve"> See also with regard to cases where the surrender of the requested person failed after he or she had been released by the executing authority: Evaluation Report on Germany on the 9th round of mutual evaluations. Council-Document 7960/1/20 REV 1, p. 66.</w:t>
      </w:r>
    </w:p>
  </w:footnote>
  <w:footnote w:id="196">
    <w:p w14:paraId="03150025" w14:textId="0D3A8B08" w:rsidR="00D81F47" w:rsidRPr="0033147B" w:rsidRDefault="00D81F47" w:rsidP="0042572A">
      <w:pPr>
        <w:pStyle w:val="Funotentext"/>
        <w:rPr>
          <w:lang w:val="en-GB"/>
        </w:rPr>
      </w:pPr>
      <w:r>
        <w:rPr>
          <w:rStyle w:val="Funotenzeichen"/>
        </w:rPr>
        <w:footnoteRef/>
      </w:r>
      <w:r w:rsidRPr="00BE1205">
        <w:rPr>
          <w:lang w:val="en-GB"/>
        </w:rPr>
        <w:t xml:space="preserve"> </w:t>
      </w:r>
      <w:r w:rsidRPr="00BE1205">
        <w:rPr>
          <w:rFonts w:asciiTheme="majorBidi" w:hAnsiTheme="majorBidi" w:cstheme="majorBidi"/>
          <w:color w:val="000000" w:themeColor="text1"/>
          <w:lang w:val="en-GB"/>
        </w:rPr>
        <w:t xml:space="preserve">Public Prosecutor’s Office III (interview); </w:t>
      </w:r>
      <w:r w:rsidRPr="00BE1205">
        <w:rPr>
          <w:lang w:val="en-GB"/>
        </w:rPr>
        <w:t xml:space="preserve">see also Morgenstern, “§ 15 Vollstreckungshilfe“ in Böse (Ed.), </w:t>
      </w:r>
      <w:r w:rsidRPr="00BE1205">
        <w:rPr>
          <w:i/>
          <w:lang w:val="en-GB"/>
        </w:rPr>
        <w:t>Europäisches Strafrecht</w:t>
      </w:r>
      <w:r w:rsidRPr="00BE1205">
        <w:rPr>
          <w:lang w:val="en-GB"/>
        </w:rPr>
        <w:t xml:space="preserve">, 2nd ed. </w:t>
      </w:r>
      <w:r w:rsidRPr="00CB796C">
        <w:rPr>
          <w:lang w:val="en-US"/>
        </w:rPr>
        <w:t xml:space="preserve">(Nomos, 2021), para 124; Morgenstern, </w:t>
      </w:r>
      <w:r w:rsidRPr="0033147B">
        <w:rPr>
          <w:lang w:val="en-GB"/>
        </w:rPr>
        <w:t>“</w:t>
      </w:r>
      <w:r w:rsidRPr="00CB796C">
        <w:rPr>
          <w:lang w:val="en-US"/>
        </w:rPr>
        <w:t>Pre-trial detention in Germany: a liberal approach, but not for all“ in  Morgenstern/Hammerschick/Rogan (</w:t>
      </w:r>
      <w:r>
        <w:rPr>
          <w:lang w:val="en-US"/>
        </w:rPr>
        <w:t>E</w:t>
      </w:r>
      <w:r w:rsidRPr="00CB796C">
        <w:rPr>
          <w:lang w:val="en-US"/>
        </w:rPr>
        <w:t>ds</w:t>
      </w:r>
      <w:r>
        <w:rPr>
          <w:lang w:val="en-US"/>
        </w:rPr>
        <w:t>.</w:t>
      </w:r>
      <w:r w:rsidRPr="0033147B">
        <w:rPr>
          <w:lang w:val="en-GB"/>
        </w:rPr>
        <w:t>)</w:t>
      </w:r>
      <w:r>
        <w:rPr>
          <w:lang w:val="en-US"/>
        </w:rPr>
        <w:t>,</w:t>
      </w:r>
      <w:r w:rsidRPr="0033147B">
        <w:rPr>
          <w:lang w:val="en-GB"/>
        </w:rPr>
        <w:t xml:space="preserve"> </w:t>
      </w:r>
      <w:r w:rsidRPr="0033147B">
        <w:rPr>
          <w:i/>
          <w:lang w:val="en-GB"/>
        </w:rPr>
        <w:t>European Perspectives on pre-trial detention. A means of last resort?</w:t>
      </w:r>
      <w:r w:rsidRPr="0033147B">
        <w:rPr>
          <w:lang w:val="en-GB"/>
        </w:rPr>
        <w:t xml:space="preserve"> (2023), p. 8 (</w:t>
      </w:r>
      <w:r>
        <w:rPr>
          <w:lang w:val="en-US"/>
        </w:rPr>
        <w:t xml:space="preserve">at </w:t>
      </w:r>
      <w:r w:rsidRPr="0033147B">
        <w:rPr>
          <w:lang w:val="en-GB"/>
        </w:rPr>
        <w:t>97), referring to statements of practitioners.</w:t>
      </w:r>
    </w:p>
  </w:footnote>
  <w:footnote w:id="197">
    <w:p w14:paraId="290EC9A0" w14:textId="3EE1820B" w:rsidR="00D81F47" w:rsidRPr="00773918" w:rsidRDefault="00D81F47">
      <w:pPr>
        <w:pStyle w:val="Funotentext"/>
        <w:rPr>
          <w:lang w:val="en-US"/>
        </w:rPr>
      </w:pPr>
      <w:r>
        <w:rPr>
          <w:rStyle w:val="Funotenzeichen"/>
        </w:rPr>
        <w:footnoteRef/>
      </w:r>
      <w:r w:rsidRPr="0033147B">
        <w:rPr>
          <w:lang w:val="en-GB"/>
        </w:rPr>
        <w:t xml:space="preserve"> </w:t>
      </w:r>
      <w:r>
        <w:rPr>
          <w:lang w:val="en-GB"/>
        </w:rPr>
        <w:t>State’s</w:t>
      </w:r>
      <w:r w:rsidDel="00146B53">
        <w:rPr>
          <w:lang w:val="en-GB"/>
        </w:rPr>
        <w:t xml:space="preserve"> </w:t>
      </w:r>
      <w:r>
        <w:rPr>
          <w:lang w:val="en-US"/>
        </w:rPr>
        <w:t>Ministry of Justice (interview).</w:t>
      </w:r>
    </w:p>
  </w:footnote>
  <w:footnote w:id="198">
    <w:p w14:paraId="568D2E59" w14:textId="7214843D" w:rsidR="00D81F47" w:rsidRPr="000163C9" w:rsidRDefault="00D81F47">
      <w:pPr>
        <w:pStyle w:val="Funotentext"/>
        <w:rPr>
          <w:lang w:val="en-US"/>
        </w:rPr>
      </w:pPr>
      <w:r>
        <w:rPr>
          <w:rStyle w:val="Funotenzeichen"/>
        </w:rPr>
        <w:footnoteRef/>
      </w:r>
      <w:r w:rsidRPr="0033147B">
        <w:rPr>
          <w:lang w:val="en-GB"/>
        </w:rPr>
        <w:t xml:space="preserve"> </w:t>
      </w:r>
      <w:r>
        <w:rPr>
          <w:lang w:val="en-US"/>
        </w:rPr>
        <w:t>Defence Lawyer I</w:t>
      </w:r>
      <w:r w:rsidRPr="000163C9">
        <w:rPr>
          <w:lang w:val="en-US"/>
        </w:rPr>
        <w:t>II</w:t>
      </w:r>
      <w:r>
        <w:rPr>
          <w:lang w:val="en-US"/>
        </w:rPr>
        <w:t xml:space="preserve"> (interview)</w:t>
      </w:r>
      <w:r w:rsidRPr="000163C9">
        <w:rPr>
          <w:lang w:val="en-US"/>
        </w:rPr>
        <w:t>; see also Evaluation</w:t>
      </w:r>
      <w:r>
        <w:rPr>
          <w:lang w:val="en-US"/>
        </w:rPr>
        <w:t xml:space="preserve"> </w:t>
      </w:r>
      <w:r w:rsidRPr="0033147B">
        <w:rPr>
          <w:lang w:val="en-GB"/>
        </w:rPr>
        <w:t>Report on Germany on the 9th round of mutual evaluations. Council-Document 7960/1/20 REV 1, p. 143</w:t>
      </w:r>
      <w:r w:rsidRPr="000163C9">
        <w:rPr>
          <w:lang w:val="en-US"/>
        </w:rPr>
        <w:t>.</w:t>
      </w:r>
    </w:p>
  </w:footnote>
  <w:footnote w:id="199">
    <w:p w14:paraId="58B09D08" w14:textId="1821FAFE" w:rsidR="00D81F47" w:rsidRPr="0033147B" w:rsidRDefault="00D81F47">
      <w:pPr>
        <w:pStyle w:val="Funotentext"/>
        <w:rPr>
          <w:lang w:val="en-GB"/>
        </w:rPr>
      </w:pPr>
      <w:r>
        <w:rPr>
          <w:rStyle w:val="Funotenzeichen"/>
        </w:rPr>
        <w:footnoteRef/>
      </w:r>
      <w:r w:rsidRPr="0033147B">
        <w:rPr>
          <w:lang w:val="en-GB"/>
        </w:rPr>
        <w:t xml:space="preserve"> </w:t>
      </w:r>
      <w:r>
        <w:rPr>
          <w:lang w:val="en-US"/>
        </w:rPr>
        <w:t>Defence Lawyer</w:t>
      </w:r>
      <w:r w:rsidRPr="00CB796C">
        <w:rPr>
          <w:lang w:val="en-US"/>
        </w:rPr>
        <w:t xml:space="preserve"> I</w:t>
      </w:r>
      <w:r>
        <w:rPr>
          <w:lang w:val="en-US"/>
        </w:rPr>
        <w:t xml:space="preserve"> (interview)</w:t>
      </w:r>
      <w:r w:rsidRPr="0033147B">
        <w:rPr>
          <w:lang w:val="en-GB"/>
        </w:rPr>
        <w:t>.</w:t>
      </w:r>
    </w:p>
  </w:footnote>
  <w:footnote w:id="200">
    <w:p w14:paraId="175B21B3" w14:textId="6AA6AC3A" w:rsidR="00D81F47" w:rsidRPr="00CB796C" w:rsidRDefault="00D81F47">
      <w:pPr>
        <w:pStyle w:val="Funotentext"/>
        <w:rPr>
          <w:lang w:val="en-US"/>
        </w:rPr>
      </w:pPr>
      <w:r>
        <w:rPr>
          <w:rStyle w:val="Funotenzeichen"/>
        </w:rPr>
        <w:footnoteRef/>
      </w:r>
      <w:r w:rsidRPr="0033147B">
        <w:rPr>
          <w:lang w:val="en-GB"/>
        </w:rPr>
        <w:t xml:space="preserve"> </w:t>
      </w:r>
      <w:r>
        <w:rPr>
          <w:lang w:val="en-US"/>
        </w:rPr>
        <w:t xml:space="preserve">Defence Lawyer </w:t>
      </w:r>
      <w:r w:rsidRPr="00CB796C">
        <w:rPr>
          <w:lang w:val="en-US"/>
        </w:rPr>
        <w:t>I</w:t>
      </w:r>
      <w:r>
        <w:rPr>
          <w:lang w:val="en-US"/>
        </w:rPr>
        <w:t xml:space="preserve"> (interview)</w:t>
      </w:r>
      <w:r w:rsidRPr="0033147B">
        <w:rPr>
          <w:lang w:val="en-GB"/>
        </w:rPr>
        <w:t xml:space="preserve">; similarly </w:t>
      </w:r>
      <w:r w:rsidRPr="00A87040">
        <w:rPr>
          <w:rFonts w:asciiTheme="majorBidi" w:hAnsiTheme="majorBidi" w:cstheme="majorBidi"/>
          <w:color w:val="000000" w:themeColor="text1"/>
          <w:lang w:val="en-US"/>
        </w:rPr>
        <w:t>Federal Ministry of Justice (interview)</w:t>
      </w:r>
      <w:r w:rsidRPr="00CB796C">
        <w:rPr>
          <w:lang w:val="en-US"/>
        </w:rPr>
        <w:t>.</w:t>
      </w:r>
    </w:p>
  </w:footnote>
  <w:footnote w:id="201">
    <w:p w14:paraId="5B786D86" w14:textId="172A11A0" w:rsidR="00D81F47" w:rsidRPr="00CB796C" w:rsidRDefault="00D81F47">
      <w:pPr>
        <w:pStyle w:val="Funotentext"/>
        <w:rPr>
          <w:lang w:val="en-US"/>
        </w:rPr>
      </w:pPr>
      <w:r>
        <w:rPr>
          <w:rStyle w:val="Funotenzeichen"/>
        </w:rPr>
        <w:footnoteRef/>
      </w:r>
      <w:r w:rsidRPr="0033147B">
        <w:rPr>
          <w:lang w:val="en-GB"/>
        </w:rPr>
        <w:t xml:space="preserve"> </w:t>
      </w:r>
      <w:r w:rsidRPr="002F14C3">
        <w:rPr>
          <w:rStyle w:val="cf01"/>
          <w:rFonts w:asciiTheme="majorBidi" w:hAnsiTheme="majorBidi" w:cstheme="majorBidi"/>
          <w:sz w:val="20"/>
          <w:szCs w:val="20"/>
          <w:lang w:val="en-US"/>
        </w:rPr>
        <w:t xml:space="preserve">Public Prosecutor’s Office </w:t>
      </w:r>
      <w:r>
        <w:rPr>
          <w:rStyle w:val="cf01"/>
          <w:rFonts w:asciiTheme="majorBidi" w:hAnsiTheme="majorBidi" w:cstheme="majorBidi"/>
          <w:sz w:val="20"/>
          <w:szCs w:val="20"/>
          <w:lang w:val="en-US"/>
        </w:rPr>
        <w:t>III</w:t>
      </w:r>
      <w:r w:rsidRPr="002F14C3">
        <w:rPr>
          <w:rStyle w:val="cf01"/>
          <w:rFonts w:asciiTheme="majorBidi" w:hAnsiTheme="majorBidi" w:cstheme="majorBidi"/>
          <w:sz w:val="20"/>
          <w:szCs w:val="20"/>
          <w:lang w:val="en-US"/>
        </w:rPr>
        <w:t xml:space="preserve"> (interview)</w:t>
      </w:r>
      <w:r w:rsidRPr="00CB796C">
        <w:rPr>
          <w:lang w:val="en-US"/>
        </w:rPr>
        <w:t xml:space="preserve">; similarly </w:t>
      </w:r>
      <w:r w:rsidRPr="00A87040">
        <w:rPr>
          <w:rFonts w:asciiTheme="majorBidi" w:hAnsiTheme="majorBidi" w:cstheme="majorBidi"/>
          <w:color w:val="000000" w:themeColor="text1"/>
          <w:lang w:val="en-US"/>
        </w:rPr>
        <w:t>Federal Ministry of Justice (interview)</w:t>
      </w:r>
      <w:r w:rsidRPr="003F49F1">
        <w:rPr>
          <w:lang w:val="en-US"/>
        </w:rPr>
        <w:t>.</w:t>
      </w:r>
    </w:p>
  </w:footnote>
  <w:footnote w:id="202">
    <w:p w14:paraId="6D77ECB4" w14:textId="78D4D654" w:rsidR="00D81F47" w:rsidRPr="00CB796C" w:rsidRDefault="00D81F47">
      <w:pPr>
        <w:pStyle w:val="Funotentext"/>
        <w:rPr>
          <w:lang w:val="en-US"/>
        </w:rPr>
      </w:pPr>
      <w:r>
        <w:rPr>
          <w:rStyle w:val="Funotenzeichen"/>
        </w:rPr>
        <w:footnoteRef/>
      </w:r>
      <w:r w:rsidRPr="0033147B">
        <w:rPr>
          <w:lang w:val="en-GB"/>
        </w:rPr>
        <w:t xml:space="preserve"> District Court</w:t>
      </w:r>
      <w:r>
        <w:rPr>
          <w:lang w:val="en-US"/>
        </w:rPr>
        <w:t xml:space="preserve"> (interview)</w:t>
      </w:r>
      <w:r w:rsidRPr="0033147B">
        <w:rPr>
          <w:lang w:val="en-GB"/>
        </w:rPr>
        <w:t xml:space="preserve">; </w:t>
      </w:r>
      <w:r w:rsidRPr="00A87040">
        <w:rPr>
          <w:rFonts w:asciiTheme="majorBidi" w:hAnsiTheme="majorBidi" w:cstheme="majorBidi"/>
          <w:color w:val="000000" w:themeColor="text1"/>
          <w:lang w:val="en-US"/>
        </w:rPr>
        <w:t xml:space="preserve">Public Prosecutor’s Office </w:t>
      </w:r>
      <w:r>
        <w:rPr>
          <w:rFonts w:asciiTheme="majorBidi" w:hAnsiTheme="majorBidi" w:cstheme="majorBidi"/>
          <w:color w:val="000000" w:themeColor="text1"/>
          <w:lang w:val="en-US"/>
        </w:rPr>
        <w:t>I</w:t>
      </w:r>
      <w:r w:rsidRPr="00A87040">
        <w:rPr>
          <w:rFonts w:asciiTheme="majorBidi" w:hAnsiTheme="majorBidi" w:cstheme="majorBidi"/>
          <w:color w:val="000000" w:themeColor="text1"/>
          <w:lang w:val="en-US"/>
        </w:rPr>
        <w:t xml:space="preserve"> (interview); Public Prosecutor’s Office</w:t>
      </w:r>
      <w:r>
        <w:rPr>
          <w:rFonts w:asciiTheme="majorBidi" w:hAnsiTheme="majorBidi" w:cstheme="majorBidi"/>
          <w:color w:val="000000" w:themeColor="text1"/>
          <w:lang w:val="en-US"/>
        </w:rPr>
        <w:t xml:space="preserve"> II</w:t>
      </w:r>
      <w:r w:rsidRPr="00A87040">
        <w:rPr>
          <w:rFonts w:asciiTheme="majorBidi" w:hAnsiTheme="majorBidi" w:cstheme="majorBidi"/>
          <w:color w:val="000000" w:themeColor="text1"/>
          <w:lang w:val="en-US"/>
        </w:rPr>
        <w:t xml:space="preserve"> (interview)</w:t>
      </w:r>
      <w:r w:rsidRPr="00CB796C">
        <w:rPr>
          <w:lang w:val="en-US"/>
        </w:rPr>
        <w:t xml:space="preserve">; </w:t>
      </w:r>
      <w:r>
        <w:rPr>
          <w:lang w:val="en-US"/>
        </w:rPr>
        <w:t>Defence Lawyer II</w:t>
      </w:r>
      <w:r w:rsidRPr="000163C9">
        <w:rPr>
          <w:lang w:val="en-US"/>
        </w:rPr>
        <w:t>I</w:t>
      </w:r>
      <w:r>
        <w:rPr>
          <w:lang w:val="en-US"/>
        </w:rPr>
        <w:t xml:space="preserve"> (interview)</w:t>
      </w:r>
      <w:r w:rsidRPr="000163C9">
        <w:rPr>
          <w:lang w:val="en-US"/>
        </w:rPr>
        <w:t xml:space="preserve">; </w:t>
      </w:r>
      <w:r>
        <w:rPr>
          <w:lang w:val="en-US"/>
        </w:rPr>
        <w:t>Defence Lawyer II (interview)</w:t>
      </w:r>
      <w:r w:rsidRPr="000163C9">
        <w:rPr>
          <w:lang w:val="en-US"/>
        </w:rPr>
        <w:t>;</w:t>
      </w:r>
      <w:r w:rsidRPr="00CB796C">
        <w:rPr>
          <w:lang w:val="en-US"/>
        </w:rPr>
        <w:t xml:space="preserve"> see also Morgenstern</w:t>
      </w:r>
      <w:r>
        <w:rPr>
          <w:lang w:val="en-US"/>
        </w:rPr>
        <w:t>,</w:t>
      </w:r>
      <w:r w:rsidRPr="0033147B">
        <w:rPr>
          <w:lang w:val="en-GB"/>
        </w:rPr>
        <w:t xml:space="preserve"> </w:t>
      </w:r>
      <w:r>
        <w:rPr>
          <w:lang w:val="en-US"/>
        </w:rPr>
        <w:t>“</w:t>
      </w:r>
      <w:r w:rsidRPr="00CB796C">
        <w:rPr>
          <w:lang w:val="en-US"/>
        </w:rPr>
        <w:t>Pre-trial detention in Germany: a liberal approach, but not for all</w:t>
      </w:r>
      <w:r>
        <w:rPr>
          <w:lang w:val="en-US"/>
        </w:rPr>
        <w:t>”</w:t>
      </w:r>
      <w:r w:rsidRPr="00CB796C">
        <w:rPr>
          <w:lang w:val="en-US"/>
        </w:rPr>
        <w:t xml:space="preserve"> in Morgenstern/Hammerschick/Rogan (</w:t>
      </w:r>
      <w:r>
        <w:rPr>
          <w:lang w:val="en-US"/>
        </w:rPr>
        <w:t>E</w:t>
      </w:r>
      <w:r w:rsidRPr="00CB796C">
        <w:rPr>
          <w:lang w:val="en-US"/>
        </w:rPr>
        <w:t>ds</w:t>
      </w:r>
      <w:r>
        <w:rPr>
          <w:lang w:val="en-US"/>
        </w:rPr>
        <w:t>.</w:t>
      </w:r>
      <w:r w:rsidRPr="0033147B">
        <w:rPr>
          <w:lang w:val="en-GB"/>
        </w:rPr>
        <w:t>)</w:t>
      </w:r>
      <w:r>
        <w:rPr>
          <w:lang w:val="en-US"/>
        </w:rPr>
        <w:t>,</w:t>
      </w:r>
      <w:r w:rsidRPr="0033147B">
        <w:rPr>
          <w:lang w:val="en-GB"/>
        </w:rPr>
        <w:t xml:space="preserve"> </w:t>
      </w:r>
      <w:r w:rsidRPr="0033147B">
        <w:rPr>
          <w:i/>
          <w:lang w:val="en-GB"/>
        </w:rPr>
        <w:t>European Perspectives on pre-trial detention. A means of last resort?</w:t>
      </w:r>
      <w:r w:rsidRPr="0033147B">
        <w:rPr>
          <w:lang w:val="en-GB"/>
        </w:rPr>
        <w:t xml:space="preserve"> </w:t>
      </w:r>
      <w:r w:rsidRPr="00CB796C">
        <w:rPr>
          <w:lang w:val="en-US"/>
        </w:rPr>
        <w:t>(2023), p. 8 (</w:t>
      </w:r>
      <w:r>
        <w:rPr>
          <w:lang w:val="en-US"/>
        </w:rPr>
        <w:t xml:space="preserve">at </w:t>
      </w:r>
      <w:r w:rsidRPr="00CB796C">
        <w:rPr>
          <w:lang w:val="en-US"/>
        </w:rPr>
        <w:t xml:space="preserve">97), referring to statements of practitioners. </w:t>
      </w:r>
    </w:p>
  </w:footnote>
  <w:footnote w:id="203">
    <w:p w14:paraId="1E07BEDB" w14:textId="3C5612C2" w:rsidR="00D81F47" w:rsidRPr="00CB796C" w:rsidRDefault="00D81F47" w:rsidP="00420E16">
      <w:pPr>
        <w:pStyle w:val="Funotentext"/>
        <w:rPr>
          <w:rFonts w:asciiTheme="majorBidi" w:hAnsiTheme="majorBidi" w:cstheme="majorBidi"/>
          <w:color w:val="000000" w:themeColor="text1"/>
          <w:lang w:val="en-US"/>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Federal Ministry of Justice (interview).</w:t>
      </w:r>
      <w:r>
        <w:rPr>
          <w:rFonts w:asciiTheme="majorBidi" w:hAnsiTheme="majorBidi" w:cstheme="majorBidi"/>
          <w:color w:val="000000" w:themeColor="text1"/>
          <w:lang w:val="en-US"/>
        </w:rPr>
        <w:t xml:space="preserve"> </w:t>
      </w:r>
    </w:p>
  </w:footnote>
  <w:footnote w:id="204">
    <w:p w14:paraId="0D542D81" w14:textId="5F03666A" w:rsidR="00D81F47" w:rsidRPr="0033147B" w:rsidRDefault="00D81F47">
      <w:pPr>
        <w:pStyle w:val="Funotentext"/>
        <w:rPr>
          <w:lang w:val="en-GB"/>
        </w:rPr>
      </w:pPr>
      <w:r>
        <w:rPr>
          <w:rStyle w:val="Funotenzeichen"/>
        </w:rPr>
        <w:footnoteRef/>
      </w:r>
      <w:r w:rsidRPr="0033147B">
        <w:rPr>
          <w:lang w:val="en-GB"/>
        </w:rPr>
        <w:t xml:space="preserve"> Evaluation Report on Germany on the 9th round of mutual evaluations. Council-Document 7960/1/20 REV 1, p. 134.</w:t>
      </w:r>
    </w:p>
  </w:footnote>
  <w:footnote w:id="205">
    <w:p w14:paraId="0472B180" w14:textId="050BC4C1" w:rsidR="00D81F47" w:rsidRPr="00CB796C" w:rsidRDefault="00D81F47">
      <w:pPr>
        <w:pStyle w:val="Funotentext"/>
        <w:rPr>
          <w:lang w:val="en-US"/>
        </w:rPr>
      </w:pPr>
      <w:r>
        <w:rPr>
          <w:rStyle w:val="Funotenzeichen"/>
        </w:rPr>
        <w:footnoteRef/>
      </w:r>
      <w:r w:rsidRPr="0033147B">
        <w:rPr>
          <w:lang w:val="en-GB"/>
        </w:rPr>
        <w:t xml:space="preserve"> See the explanatory memorandum of the German government, Bundestags-Drucks</w:t>
      </w:r>
      <w:r>
        <w:rPr>
          <w:lang w:val="en-US"/>
        </w:rPr>
        <w:t>ache</w:t>
      </w:r>
      <w:r w:rsidRPr="00CB796C">
        <w:rPr>
          <w:lang w:val="en-US"/>
        </w:rPr>
        <w:t xml:space="preserve"> 18/4894, p. 17, and the recommendation of the Bundesrat, Bundesrats-Drucksache No</w:t>
      </w:r>
      <w:r>
        <w:rPr>
          <w:lang w:val="en-US"/>
        </w:rPr>
        <w:t>.</w:t>
      </w:r>
      <w:r w:rsidRPr="00CB796C">
        <w:rPr>
          <w:lang w:val="en-US"/>
        </w:rPr>
        <w:t xml:space="preserve"> 654/1/06, p. 3.</w:t>
      </w:r>
    </w:p>
  </w:footnote>
  <w:footnote w:id="206">
    <w:p w14:paraId="68F8C88A" w14:textId="6D13F95D" w:rsidR="00D81F47" w:rsidRPr="00EE04F1" w:rsidRDefault="00D81F47">
      <w:pPr>
        <w:pStyle w:val="Funotentext"/>
        <w:rPr>
          <w:lang w:val="de-DE"/>
        </w:rPr>
      </w:pPr>
      <w:r>
        <w:rPr>
          <w:rStyle w:val="Funotenzeichen"/>
        </w:rPr>
        <w:footnoteRef/>
      </w:r>
      <w:r w:rsidRPr="00EE04F1">
        <w:rPr>
          <w:lang w:val="de-DE"/>
        </w:rPr>
        <w:t xml:space="preserve"> Schlothauer</w:t>
      </w:r>
      <w:r>
        <w:rPr>
          <w:lang w:val="de-DE"/>
        </w:rPr>
        <w:t>,</w:t>
      </w:r>
      <w:r w:rsidRPr="00EE04F1">
        <w:rPr>
          <w:lang w:val="de-DE"/>
        </w:rPr>
        <w:t xml:space="preserve"> </w:t>
      </w:r>
      <w:bookmarkStart w:id="161" w:name="_Hlk169860842"/>
      <w:r>
        <w:rPr>
          <w:lang w:val="de-DE"/>
        </w:rPr>
        <w:t>“</w:t>
      </w:r>
      <w:bookmarkEnd w:id="161"/>
      <w:r w:rsidRPr="00CB796C">
        <w:rPr>
          <w:lang w:val="de-DE"/>
        </w:rPr>
        <w:t>Haftverschonung bei Untersuchungshaft im europäischen Kontext</w:t>
      </w:r>
      <w:r>
        <w:rPr>
          <w:lang w:val="de-DE"/>
        </w:rPr>
        <w:t>“</w:t>
      </w:r>
      <w:r w:rsidRPr="00CB796C">
        <w:rPr>
          <w:lang w:val="de-DE"/>
        </w:rPr>
        <w:t xml:space="preserve"> in Herzog/Schlothauer/Wohlers/Wolter (</w:t>
      </w:r>
      <w:r>
        <w:rPr>
          <w:lang w:val="de-DE"/>
        </w:rPr>
        <w:t>E</w:t>
      </w:r>
      <w:r w:rsidRPr="00CB796C">
        <w:rPr>
          <w:lang w:val="de-DE"/>
        </w:rPr>
        <w:t>ds</w:t>
      </w:r>
      <w:r>
        <w:rPr>
          <w:lang w:val="de-DE"/>
        </w:rPr>
        <w:t>.</w:t>
      </w:r>
      <w:r w:rsidRPr="00EE04F1">
        <w:rPr>
          <w:lang w:val="de-DE"/>
        </w:rPr>
        <w:t>)</w:t>
      </w:r>
      <w:r>
        <w:rPr>
          <w:lang w:val="de-DE"/>
        </w:rPr>
        <w:t>,</w:t>
      </w:r>
      <w:r w:rsidRPr="00EE04F1">
        <w:rPr>
          <w:lang w:val="de-DE"/>
        </w:rPr>
        <w:t xml:space="preserve"> </w:t>
      </w:r>
      <w:r w:rsidRPr="00EE04F1">
        <w:rPr>
          <w:i/>
          <w:lang w:val="de-DE"/>
        </w:rPr>
        <w:t>Rechtsstaatlicher Strafprozess und Bürgerrechte</w:t>
      </w:r>
      <w:r w:rsidRPr="00EE04F1">
        <w:rPr>
          <w:lang w:val="de-DE"/>
        </w:rPr>
        <w:t xml:space="preserve"> </w:t>
      </w:r>
      <w:r>
        <w:rPr>
          <w:lang w:val="de-DE"/>
        </w:rPr>
        <w:t>(</w:t>
      </w:r>
      <w:r w:rsidRPr="00EE04F1">
        <w:rPr>
          <w:lang w:val="de-DE"/>
        </w:rPr>
        <w:t>2016</w:t>
      </w:r>
      <w:r>
        <w:rPr>
          <w:lang w:val="de-DE"/>
        </w:rPr>
        <w:t>)</w:t>
      </w:r>
      <w:r w:rsidRPr="00EE04F1">
        <w:rPr>
          <w:lang w:val="de-DE"/>
        </w:rPr>
        <w:t>, p. 313 (</w:t>
      </w:r>
      <w:r>
        <w:rPr>
          <w:lang w:val="de-DE"/>
        </w:rPr>
        <w:t xml:space="preserve">at </w:t>
      </w:r>
      <w:r w:rsidRPr="00EE04F1">
        <w:rPr>
          <w:lang w:val="de-DE"/>
        </w:rPr>
        <w:t xml:space="preserve">315-316). </w:t>
      </w:r>
    </w:p>
  </w:footnote>
  <w:footnote w:id="207">
    <w:p w14:paraId="4BBFEB69" w14:textId="4BCBC3EA" w:rsidR="00D81F47" w:rsidRPr="00CB796C" w:rsidRDefault="00D81F47">
      <w:pPr>
        <w:pStyle w:val="Funotentext"/>
        <w:rPr>
          <w:lang w:val="de-DE"/>
        </w:rPr>
      </w:pPr>
      <w:r>
        <w:rPr>
          <w:rStyle w:val="Funotenzeichen"/>
        </w:rPr>
        <w:footnoteRef/>
      </w:r>
      <w:r w:rsidRPr="00EE04F1">
        <w:rPr>
          <w:lang w:val="de-DE"/>
        </w:rPr>
        <w:t xml:space="preserve"> </w:t>
      </w:r>
      <w:r w:rsidRPr="000427FA">
        <w:rPr>
          <w:lang w:val="de-DE"/>
        </w:rPr>
        <w:t>Schlothauer</w:t>
      </w:r>
      <w:r>
        <w:rPr>
          <w:lang w:val="de-DE"/>
        </w:rPr>
        <w:t>,</w:t>
      </w:r>
      <w:r w:rsidRPr="000427FA">
        <w:rPr>
          <w:lang w:val="de-DE"/>
        </w:rPr>
        <w:t xml:space="preserve"> </w:t>
      </w:r>
      <w:r>
        <w:rPr>
          <w:lang w:val="de-DE"/>
        </w:rPr>
        <w:t>“</w:t>
      </w:r>
      <w:r w:rsidRPr="000427FA">
        <w:rPr>
          <w:lang w:val="de-DE"/>
        </w:rPr>
        <w:t>Haftverschonung bei Untersuchungshaft im europäischen Kontext</w:t>
      </w:r>
      <w:r>
        <w:rPr>
          <w:lang w:val="de-DE"/>
        </w:rPr>
        <w:t>“</w:t>
      </w:r>
      <w:r w:rsidRPr="000427FA">
        <w:rPr>
          <w:lang w:val="de-DE"/>
        </w:rPr>
        <w:t xml:space="preserve"> in Herzog/Schlothauer/Wohlers/Wolter (</w:t>
      </w:r>
      <w:r>
        <w:rPr>
          <w:lang w:val="de-DE"/>
        </w:rPr>
        <w:t>E</w:t>
      </w:r>
      <w:r w:rsidRPr="000427FA">
        <w:rPr>
          <w:lang w:val="de-DE"/>
        </w:rPr>
        <w:t>ds</w:t>
      </w:r>
      <w:r>
        <w:rPr>
          <w:lang w:val="de-DE"/>
        </w:rPr>
        <w:t>.</w:t>
      </w:r>
      <w:r w:rsidRPr="000427FA">
        <w:rPr>
          <w:lang w:val="de-DE"/>
        </w:rPr>
        <w:t>)</w:t>
      </w:r>
      <w:r>
        <w:rPr>
          <w:lang w:val="de-DE"/>
        </w:rPr>
        <w:t>,</w:t>
      </w:r>
      <w:r w:rsidRPr="000427FA">
        <w:rPr>
          <w:lang w:val="de-DE"/>
        </w:rPr>
        <w:t xml:space="preserve"> </w:t>
      </w:r>
      <w:r w:rsidRPr="000427FA">
        <w:rPr>
          <w:i/>
          <w:lang w:val="de-DE"/>
        </w:rPr>
        <w:t>Rechtsstaatlicher Strafprozess und Bürgerrechte</w:t>
      </w:r>
      <w:r w:rsidRPr="000427FA">
        <w:rPr>
          <w:lang w:val="de-DE"/>
        </w:rPr>
        <w:t xml:space="preserve"> </w:t>
      </w:r>
      <w:r>
        <w:rPr>
          <w:lang w:val="de-DE"/>
        </w:rPr>
        <w:t>(</w:t>
      </w:r>
      <w:r w:rsidRPr="000427FA">
        <w:rPr>
          <w:lang w:val="de-DE"/>
        </w:rPr>
        <w:t>2016</w:t>
      </w:r>
      <w:r>
        <w:rPr>
          <w:lang w:val="de-DE"/>
        </w:rPr>
        <w:t>)</w:t>
      </w:r>
      <w:r w:rsidRPr="000427FA">
        <w:rPr>
          <w:lang w:val="de-DE"/>
        </w:rPr>
        <w:t xml:space="preserve">, p. 313 </w:t>
      </w:r>
      <w:r w:rsidRPr="00CB796C">
        <w:rPr>
          <w:lang w:val="de-DE"/>
        </w:rPr>
        <w:t>(317-318).</w:t>
      </w:r>
    </w:p>
  </w:footnote>
  <w:footnote w:id="208">
    <w:p w14:paraId="25A643A8" w14:textId="43BF5E3C" w:rsidR="00D81F47" w:rsidRPr="0033147B" w:rsidRDefault="00D81F47">
      <w:pPr>
        <w:pStyle w:val="Funotentext"/>
        <w:rPr>
          <w:lang w:val="de-DE"/>
        </w:rPr>
      </w:pPr>
      <w:r>
        <w:rPr>
          <w:rStyle w:val="Funotenzeichen"/>
        </w:rPr>
        <w:footnoteRef/>
      </w:r>
      <w:r w:rsidRPr="0033147B">
        <w:rPr>
          <w:lang w:val="de-DE"/>
        </w:rPr>
        <w:t xml:space="preserve"> Schlothauer</w:t>
      </w:r>
      <w:r>
        <w:rPr>
          <w:lang w:val="de-DE"/>
        </w:rPr>
        <w:t>,</w:t>
      </w:r>
      <w:r w:rsidRPr="0033147B">
        <w:rPr>
          <w:lang w:val="de-DE"/>
        </w:rPr>
        <w:t xml:space="preserve"> </w:t>
      </w:r>
      <w:r>
        <w:rPr>
          <w:lang w:val="de-DE"/>
        </w:rPr>
        <w:t>“</w:t>
      </w:r>
      <w:r w:rsidRPr="00CB796C">
        <w:rPr>
          <w:lang w:val="de-DE"/>
        </w:rPr>
        <w:t>Haftverschonung bei Untersuchungshaft im europäischen Kontext</w:t>
      </w:r>
      <w:r>
        <w:rPr>
          <w:lang w:val="de-DE"/>
        </w:rPr>
        <w:t>“</w:t>
      </w:r>
      <w:r w:rsidRPr="00CB796C">
        <w:rPr>
          <w:lang w:val="de-DE"/>
        </w:rPr>
        <w:t xml:space="preserve"> in</w:t>
      </w:r>
      <w:r>
        <w:rPr>
          <w:lang w:val="de-DE"/>
        </w:rPr>
        <w:t xml:space="preserve"> </w:t>
      </w:r>
      <w:r w:rsidRPr="00CB796C">
        <w:rPr>
          <w:lang w:val="de-DE"/>
        </w:rPr>
        <w:t>Herzog/Schlothauer/Wohlers/Wolter (</w:t>
      </w:r>
      <w:r>
        <w:rPr>
          <w:lang w:val="de-DE"/>
        </w:rPr>
        <w:t>E</w:t>
      </w:r>
      <w:r w:rsidRPr="00CB796C">
        <w:rPr>
          <w:lang w:val="de-DE"/>
        </w:rPr>
        <w:t>ds</w:t>
      </w:r>
      <w:r>
        <w:rPr>
          <w:lang w:val="de-DE"/>
        </w:rPr>
        <w:t>.</w:t>
      </w:r>
      <w:r w:rsidRPr="0033147B">
        <w:rPr>
          <w:lang w:val="de-DE"/>
        </w:rPr>
        <w:t>)</w:t>
      </w:r>
      <w:r>
        <w:rPr>
          <w:lang w:val="de-DE"/>
        </w:rPr>
        <w:t>,</w:t>
      </w:r>
      <w:r w:rsidRPr="0033147B">
        <w:rPr>
          <w:lang w:val="de-DE"/>
        </w:rPr>
        <w:t xml:space="preserve"> </w:t>
      </w:r>
      <w:r w:rsidRPr="0033147B">
        <w:rPr>
          <w:i/>
          <w:lang w:val="de-DE"/>
        </w:rPr>
        <w:t>Rechtsstaatlicher Strafprozess und Bürgerrechte</w:t>
      </w:r>
      <w:r w:rsidRPr="0033147B">
        <w:rPr>
          <w:lang w:val="de-DE"/>
        </w:rPr>
        <w:t xml:space="preserve"> </w:t>
      </w:r>
      <w:r>
        <w:rPr>
          <w:lang w:val="de-DE"/>
        </w:rPr>
        <w:t>(</w:t>
      </w:r>
      <w:r w:rsidRPr="0033147B">
        <w:rPr>
          <w:lang w:val="de-DE"/>
        </w:rPr>
        <w:t>2016</w:t>
      </w:r>
      <w:r>
        <w:rPr>
          <w:lang w:val="de-DE"/>
        </w:rPr>
        <w:t>)</w:t>
      </w:r>
      <w:r w:rsidRPr="0033147B">
        <w:rPr>
          <w:lang w:val="de-DE"/>
        </w:rPr>
        <w:t>, p. 313 (</w:t>
      </w:r>
      <w:r>
        <w:rPr>
          <w:lang w:val="de-DE"/>
        </w:rPr>
        <w:t xml:space="preserve">at </w:t>
      </w:r>
      <w:r w:rsidRPr="0033147B">
        <w:rPr>
          <w:lang w:val="de-DE"/>
        </w:rPr>
        <w:t>322-323).</w:t>
      </w:r>
    </w:p>
  </w:footnote>
  <w:footnote w:id="209">
    <w:p w14:paraId="32D9ACFD" w14:textId="7B8A5442" w:rsidR="00D81F47" w:rsidRPr="00777A20" w:rsidRDefault="00D81F47" w:rsidP="006601C1">
      <w:pPr>
        <w:pStyle w:val="Funotentext"/>
        <w:jc w:val="both"/>
        <w:rPr>
          <w:lang w:val="en-GB"/>
        </w:rPr>
      </w:pPr>
      <w:r>
        <w:rPr>
          <w:rStyle w:val="Funotenzeichen"/>
        </w:rPr>
        <w:footnoteRef/>
      </w:r>
      <w:r w:rsidRPr="00777A20">
        <w:rPr>
          <w:lang w:val="en-GB"/>
        </w:rPr>
        <w:t xml:space="preserve"> </w:t>
      </w:r>
      <w:r w:rsidRPr="00DE69B4">
        <w:rPr>
          <w:lang w:val="en-GB"/>
        </w:rPr>
        <w:t>Please note that Denmark and Ireland are not bound by Directive 2014/41/EU. Please take on board whether this causes problems from the perspective of the “coherent and effective” application of the instruments.</w:t>
      </w:r>
    </w:p>
  </w:footnote>
  <w:footnote w:id="210">
    <w:p w14:paraId="4B719D13" w14:textId="62E7D111" w:rsidR="00D81F47" w:rsidRPr="00777A20" w:rsidRDefault="00D81F47" w:rsidP="006601C1">
      <w:pPr>
        <w:pStyle w:val="Funotentext"/>
        <w:jc w:val="both"/>
        <w:rPr>
          <w:lang w:val="en-GB"/>
        </w:rPr>
      </w:pPr>
      <w:r>
        <w:rPr>
          <w:rStyle w:val="Funotenzeichen"/>
        </w:rPr>
        <w:footnoteRef/>
      </w:r>
      <w:r w:rsidRPr="00777A20">
        <w:rPr>
          <w:lang w:val="en-GB"/>
        </w:rPr>
        <w:t xml:space="preserve"> </w:t>
      </w:r>
      <w:r w:rsidRPr="005F4ACA">
        <w:rPr>
          <w:lang w:val="en-GB"/>
        </w:rPr>
        <w:t xml:space="preserve">It should be remembered that a temporary transfer </w:t>
      </w:r>
      <w:r>
        <w:rPr>
          <w:lang w:val="en-GB"/>
        </w:rPr>
        <w:t xml:space="preserve">to the issuing MS </w:t>
      </w:r>
      <w:r w:rsidRPr="005F4ACA">
        <w:rPr>
          <w:lang w:val="en-GB"/>
        </w:rPr>
        <w:t xml:space="preserve">is only possible if the person concerned is in custody in the </w:t>
      </w:r>
      <w:r w:rsidRPr="005F4ACA">
        <w:rPr>
          <w:i/>
          <w:iCs/>
          <w:lang w:val="en-GB"/>
        </w:rPr>
        <w:t>executing</w:t>
      </w:r>
      <w:r w:rsidRPr="005F4ACA">
        <w:rPr>
          <w:lang w:val="en-GB"/>
        </w:rPr>
        <w:t xml:space="preserve"> MS (see p. </w:t>
      </w:r>
      <w:r>
        <w:rPr>
          <w:lang w:val="en-GB"/>
        </w:rPr>
        <w:t>9).</w:t>
      </w:r>
    </w:p>
  </w:footnote>
  <w:footnote w:id="211">
    <w:p w14:paraId="1527D8EE" w14:textId="2F33120D" w:rsidR="00D81F47" w:rsidRPr="00CB796C" w:rsidRDefault="00D81F47">
      <w:pPr>
        <w:pStyle w:val="Funotentext"/>
        <w:rPr>
          <w:lang w:val="en-US"/>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Public Prosecutor’s Office</w:t>
      </w:r>
      <w:r>
        <w:rPr>
          <w:rFonts w:asciiTheme="majorBidi" w:hAnsiTheme="majorBidi" w:cstheme="majorBidi"/>
          <w:color w:val="000000" w:themeColor="text1"/>
          <w:lang w:val="en-US"/>
        </w:rPr>
        <w:t xml:space="preserve"> I</w:t>
      </w:r>
      <w:r w:rsidRPr="00A87040">
        <w:rPr>
          <w:rFonts w:asciiTheme="majorBidi" w:hAnsiTheme="majorBidi" w:cstheme="majorBidi"/>
          <w:color w:val="000000" w:themeColor="text1"/>
          <w:lang w:val="en-US"/>
        </w:rPr>
        <w:t xml:space="preserve"> (interview)</w:t>
      </w:r>
      <w:r w:rsidRPr="00CB796C">
        <w:rPr>
          <w:lang w:val="en-US"/>
        </w:rPr>
        <w:t>.</w:t>
      </w:r>
    </w:p>
  </w:footnote>
  <w:footnote w:id="212">
    <w:p w14:paraId="2B27EE10" w14:textId="36F58E2E" w:rsidR="00D81F47" w:rsidRPr="00CB796C" w:rsidRDefault="00D81F47">
      <w:pPr>
        <w:pStyle w:val="Funotentext"/>
        <w:rPr>
          <w:lang w:val="en-US"/>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Federal Ministry of Justice (interview)</w:t>
      </w:r>
      <w:r w:rsidRPr="00CB796C">
        <w:rPr>
          <w:lang w:val="en-US"/>
        </w:rPr>
        <w:t>;</w:t>
      </w:r>
      <w:r>
        <w:rPr>
          <w:lang w:val="en-US"/>
        </w:rPr>
        <w:t xml:space="preserve"> </w:t>
      </w:r>
      <w:r>
        <w:rPr>
          <w:lang w:val="en-GB"/>
        </w:rPr>
        <w:t>State’s</w:t>
      </w:r>
      <w:r w:rsidDel="0057581E">
        <w:rPr>
          <w:lang w:val="en-US"/>
        </w:rPr>
        <w:t xml:space="preserve"> </w:t>
      </w:r>
      <w:r w:rsidRPr="00A87040">
        <w:rPr>
          <w:rFonts w:asciiTheme="majorBidi" w:hAnsiTheme="majorBidi" w:cstheme="majorBidi"/>
          <w:color w:val="000000" w:themeColor="text1"/>
          <w:lang w:val="en-US"/>
        </w:rPr>
        <w:t>Ministry of Justice (interview).</w:t>
      </w:r>
      <w:r>
        <w:rPr>
          <w:rFonts w:asciiTheme="majorBidi" w:hAnsiTheme="majorBidi" w:cstheme="majorBidi"/>
          <w:color w:val="000000" w:themeColor="text1"/>
          <w:lang w:val="en-US"/>
        </w:rPr>
        <w:t xml:space="preserve"> </w:t>
      </w:r>
    </w:p>
  </w:footnote>
  <w:footnote w:id="213">
    <w:p w14:paraId="18731549" w14:textId="24E399C0" w:rsidR="00D81F47" w:rsidRPr="00CB796C" w:rsidRDefault="00D81F47" w:rsidP="00A43519">
      <w:pPr>
        <w:pStyle w:val="Funotentext"/>
        <w:rPr>
          <w:rFonts w:asciiTheme="majorBidi" w:hAnsiTheme="majorBidi" w:cstheme="majorBidi"/>
          <w:color w:val="000000" w:themeColor="text1"/>
          <w:lang w:val="en-US"/>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 xml:space="preserve">Public Prosecutor’s Office </w:t>
      </w:r>
      <w:r>
        <w:rPr>
          <w:rFonts w:asciiTheme="majorBidi" w:hAnsiTheme="majorBidi" w:cstheme="majorBidi"/>
          <w:color w:val="000000" w:themeColor="text1"/>
          <w:lang w:val="en-US"/>
        </w:rPr>
        <w:t>I</w:t>
      </w:r>
      <w:r w:rsidRPr="00A87040">
        <w:rPr>
          <w:rFonts w:asciiTheme="majorBidi" w:hAnsiTheme="majorBidi" w:cstheme="majorBidi"/>
          <w:color w:val="000000" w:themeColor="text1"/>
          <w:lang w:val="en-US"/>
        </w:rPr>
        <w:t xml:space="preserve"> (interview); Public Prosecutor’s Office</w:t>
      </w:r>
      <w:r>
        <w:rPr>
          <w:rFonts w:asciiTheme="majorBidi" w:hAnsiTheme="majorBidi" w:cstheme="majorBidi"/>
          <w:color w:val="000000" w:themeColor="text1"/>
          <w:lang w:val="en-US"/>
        </w:rPr>
        <w:t xml:space="preserve"> II</w:t>
      </w:r>
      <w:r w:rsidRPr="00A87040">
        <w:rPr>
          <w:rFonts w:asciiTheme="majorBidi" w:hAnsiTheme="majorBidi" w:cstheme="majorBidi"/>
          <w:color w:val="000000" w:themeColor="text1"/>
          <w:lang w:val="en-US"/>
        </w:rPr>
        <w:t xml:space="preserve"> (interview)</w:t>
      </w:r>
      <w:r w:rsidRPr="00CB796C">
        <w:rPr>
          <w:lang w:val="en-US"/>
        </w:rPr>
        <w:t xml:space="preserve">; </w:t>
      </w:r>
      <w:r>
        <w:rPr>
          <w:lang w:val="en-GB"/>
        </w:rPr>
        <w:t>State’s</w:t>
      </w:r>
      <w:r w:rsidDel="007C5D2D">
        <w:rPr>
          <w:lang w:val="en-US"/>
        </w:rPr>
        <w:t xml:space="preserve"> </w:t>
      </w:r>
      <w:r w:rsidRPr="00A87040">
        <w:rPr>
          <w:rFonts w:asciiTheme="majorBidi" w:hAnsiTheme="majorBidi" w:cstheme="majorBidi"/>
          <w:color w:val="000000" w:themeColor="text1"/>
          <w:lang w:val="en-US"/>
        </w:rPr>
        <w:t>Ministry of Justice (interview).</w:t>
      </w:r>
      <w:r>
        <w:rPr>
          <w:rFonts w:asciiTheme="majorBidi" w:hAnsiTheme="majorBidi" w:cstheme="majorBidi"/>
          <w:color w:val="000000" w:themeColor="text1"/>
          <w:lang w:val="en-US"/>
        </w:rPr>
        <w:t xml:space="preserve"> </w:t>
      </w:r>
    </w:p>
  </w:footnote>
  <w:footnote w:id="214">
    <w:p w14:paraId="60B5295E" w14:textId="4A8E2561" w:rsidR="00D81F47" w:rsidRPr="00CB796C" w:rsidRDefault="00D81F47">
      <w:pPr>
        <w:pStyle w:val="Funotentext"/>
        <w:rPr>
          <w:lang w:val="en-US"/>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 xml:space="preserve">Public Prosecutor’s Office </w:t>
      </w:r>
      <w:r>
        <w:rPr>
          <w:rFonts w:asciiTheme="majorBidi" w:hAnsiTheme="majorBidi" w:cstheme="majorBidi"/>
          <w:color w:val="000000" w:themeColor="text1"/>
          <w:lang w:val="en-US"/>
        </w:rPr>
        <w:t>III</w:t>
      </w:r>
      <w:r w:rsidRPr="00A87040">
        <w:rPr>
          <w:rFonts w:asciiTheme="majorBidi" w:hAnsiTheme="majorBidi" w:cstheme="majorBidi"/>
          <w:color w:val="000000" w:themeColor="text1"/>
          <w:lang w:val="en-US"/>
        </w:rPr>
        <w:t xml:space="preserve"> (interview)</w:t>
      </w:r>
      <w:r>
        <w:rPr>
          <w:rFonts w:asciiTheme="majorBidi" w:hAnsiTheme="majorBidi" w:cstheme="majorBidi"/>
          <w:color w:val="000000" w:themeColor="text1"/>
          <w:lang w:val="en-US"/>
        </w:rPr>
        <w:t xml:space="preserve">. </w:t>
      </w:r>
    </w:p>
  </w:footnote>
  <w:footnote w:id="215">
    <w:p w14:paraId="1C14318D" w14:textId="5D2AF673" w:rsidR="00D81F47" w:rsidRPr="00CB796C" w:rsidRDefault="00D81F47" w:rsidP="00BA6EEF">
      <w:pPr>
        <w:pStyle w:val="Funotentext"/>
        <w:rPr>
          <w:lang w:val="en-US"/>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Federal Ministry of Justice (interview).</w:t>
      </w:r>
    </w:p>
  </w:footnote>
  <w:footnote w:id="216">
    <w:p w14:paraId="1A9F71DE" w14:textId="1A225AA1" w:rsidR="00D81F47" w:rsidRPr="00CB796C" w:rsidRDefault="00D81F47" w:rsidP="005E585B">
      <w:pPr>
        <w:pStyle w:val="Funotentext"/>
        <w:rPr>
          <w:lang w:val="en-US"/>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 xml:space="preserve">Public Prosecutor’s Office </w:t>
      </w:r>
      <w:r>
        <w:rPr>
          <w:rFonts w:asciiTheme="majorBidi" w:hAnsiTheme="majorBidi" w:cstheme="majorBidi"/>
          <w:color w:val="000000" w:themeColor="text1"/>
          <w:lang w:val="en-US"/>
        </w:rPr>
        <w:t>I</w:t>
      </w:r>
      <w:r w:rsidRPr="00A87040">
        <w:rPr>
          <w:rFonts w:asciiTheme="majorBidi" w:hAnsiTheme="majorBidi" w:cstheme="majorBidi"/>
          <w:color w:val="000000" w:themeColor="text1"/>
          <w:lang w:val="en-US"/>
        </w:rPr>
        <w:t xml:space="preserve"> (interview); Public Prosecutor’s Office</w:t>
      </w:r>
      <w:r>
        <w:rPr>
          <w:rFonts w:asciiTheme="majorBidi" w:hAnsiTheme="majorBidi" w:cstheme="majorBidi"/>
          <w:color w:val="000000" w:themeColor="text1"/>
          <w:lang w:val="en-US"/>
        </w:rPr>
        <w:t xml:space="preserve"> II</w:t>
      </w:r>
      <w:r w:rsidRPr="00A87040">
        <w:rPr>
          <w:rFonts w:asciiTheme="majorBidi" w:hAnsiTheme="majorBidi" w:cstheme="majorBidi"/>
          <w:color w:val="000000" w:themeColor="text1"/>
          <w:lang w:val="en-US"/>
        </w:rPr>
        <w:t xml:space="preserve"> (interview).</w:t>
      </w:r>
    </w:p>
  </w:footnote>
  <w:footnote w:id="217">
    <w:p w14:paraId="66CFAD4A" w14:textId="7A6B3711" w:rsidR="00D81F47" w:rsidRPr="0033147B" w:rsidRDefault="00D81F47" w:rsidP="005E585B">
      <w:pPr>
        <w:pStyle w:val="Funotentext"/>
        <w:rPr>
          <w:lang w:val="en-GB"/>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Public Prosecutor’s Office</w:t>
      </w:r>
      <w:r>
        <w:rPr>
          <w:rFonts w:asciiTheme="majorBidi" w:hAnsiTheme="majorBidi" w:cstheme="majorBidi"/>
          <w:color w:val="000000" w:themeColor="text1"/>
          <w:lang w:val="en-US"/>
        </w:rPr>
        <w:t xml:space="preserve"> I</w:t>
      </w:r>
      <w:r w:rsidRPr="00A87040">
        <w:rPr>
          <w:rFonts w:asciiTheme="majorBidi" w:hAnsiTheme="majorBidi" w:cstheme="majorBidi"/>
          <w:color w:val="000000" w:themeColor="text1"/>
          <w:lang w:val="en-US"/>
        </w:rPr>
        <w:t xml:space="preserve"> (interview)</w:t>
      </w:r>
      <w:r>
        <w:rPr>
          <w:rFonts w:asciiTheme="majorBidi" w:hAnsiTheme="majorBidi" w:cstheme="majorBidi"/>
          <w:color w:val="000000" w:themeColor="text1"/>
          <w:lang w:val="en-US"/>
        </w:rPr>
        <w:t>.</w:t>
      </w:r>
    </w:p>
  </w:footnote>
  <w:footnote w:id="218">
    <w:p w14:paraId="369F555D" w14:textId="059FA858" w:rsidR="00D81F47" w:rsidRPr="00392375" w:rsidRDefault="00D81F47">
      <w:pPr>
        <w:pStyle w:val="Funotentext"/>
        <w:rPr>
          <w:lang w:val="en-US"/>
        </w:rPr>
      </w:pPr>
      <w:r>
        <w:rPr>
          <w:rStyle w:val="Funotenzeichen"/>
        </w:rPr>
        <w:footnoteRef/>
      </w:r>
      <w:r>
        <w:t xml:space="preserve"> </w:t>
      </w:r>
      <w:r w:rsidRPr="00A87040">
        <w:rPr>
          <w:rFonts w:asciiTheme="majorBidi" w:hAnsiTheme="majorBidi" w:cstheme="majorBidi"/>
          <w:color w:val="000000" w:themeColor="text1"/>
          <w:lang w:val="en-US"/>
        </w:rPr>
        <w:t>Public Prosecutor’s Office</w:t>
      </w:r>
      <w:r>
        <w:rPr>
          <w:rFonts w:asciiTheme="majorBidi" w:hAnsiTheme="majorBidi" w:cstheme="majorBidi"/>
          <w:color w:val="000000" w:themeColor="text1"/>
          <w:lang w:val="en-US"/>
        </w:rPr>
        <w:t xml:space="preserve"> I</w:t>
      </w:r>
      <w:r w:rsidRPr="00A87040">
        <w:rPr>
          <w:rFonts w:asciiTheme="majorBidi" w:hAnsiTheme="majorBidi" w:cstheme="majorBidi"/>
          <w:color w:val="000000" w:themeColor="text1"/>
          <w:lang w:val="en-US"/>
        </w:rPr>
        <w:t xml:space="preserve"> (interview).</w:t>
      </w:r>
    </w:p>
  </w:footnote>
  <w:footnote w:id="219">
    <w:p w14:paraId="232FB38F" w14:textId="3E04CF5E" w:rsidR="00D81F47" w:rsidRPr="00B82547" w:rsidRDefault="00D81F47">
      <w:pPr>
        <w:pStyle w:val="Funotentext"/>
        <w:rPr>
          <w:lang w:val="en-US"/>
        </w:rPr>
      </w:pPr>
      <w:r>
        <w:rPr>
          <w:rStyle w:val="Funotenzeichen"/>
        </w:rPr>
        <w:footnoteRef/>
      </w:r>
      <w:r>
        <w:t xml:space="preserve"> </w:t>
      </w:r>
      <w:bookmarkStart w:id="175" w:name="_Hlk185272022"/>
      <w:r>
        <w:rPr>
          <w:lang w:val="en-GB"/>
        </w:rPr>
        <w:t>It is rumoured that the issuing judicial authorities of one MS issue an EAW just to hear the requested person. After having heard the surrendered person, he is then released.</w:t>
      </w:r>
      <w:bookmarkEnd w:id="175"/>
    </w:p>
  </w:footnote>
  <w:footnote w:id="220">
    <w:p w14:paraId="20B76F69" w14:textId="495356C4" w:rsidR="00D81F47" w:rsidRPr="0033147B" w:rsidRDefault="00D81F47" w:rsidP="00D831F7">
      <w:pPr>
        <w:pStyle w:val="Funotentext"/>
        <w:rPr>
          <w:lang w:val="en-GB"/>
        </w:rPr>
      </w:pPr>
      <w:r>
        <w:rPr>
          <w:rStyle w:val="Funotenzeichen"/>
        </w:rPr>
        <w:footnoteRef/>
      </w:r>
      <w:r w:rsidRPr="0033147B">
        <w:rPr>
          <w:lang w:val="en-GB"/>
        </w:rPr>
        <w:t xml:space="preserve"> Higher Regional Court Stuttgart, Decision of 25 February 2010 - 1 Ausl. </w:t>
      </w:r>
      <w:r w:rsidRPr="00EE04F1">
        <w:rPr>
          <w:lang w:val="de-DE"/>
        </w:rPr>
        <w:t xml:space="preserve">(24) 1246/09, (2010) </w:t>
      </w:r>
      <w:r w:rsidRPr="00CB796C">
        <w:rPr>
          <w:i/>
          <w:iCs/>
          <w:lang w:val="de-DE"/>
        </w:rPr>
        <w:t>Neue Juristische Wochenschrift</w:t>
      </w:r>
      <w:r>
        <w:rPr>
          <w:lang w:val="de-DE"/>
        </w:rPr>
        <w:t>,</w:t>
      </w:r>
      <w:r w:rsidRPr="00CB796C">
        <w:rPr>
          <w:lang w:val="de-DE"/>
        </w:rPr>
        <w:t xml:space="preserve"> </w:t>
      </w:r>
      <w:r>
        <w:rPr>
          <w:lang w:val="de-DE"/>
        </w:rPr>
        <w:t xml:space="preserve">p. </w:t>
      </w:r>
      <w:r w:rsidRPr="00EE04F1">
        <w:rPr>
          <w:lang w:val="de-DE"/>
        </w:rPr>
        <w:t>1617 (</w:t>
      </w:r>
      <w:r>
        <w:rPr>
          <w:lang w:val="de-DE"/>
        </w:rPr>
        <w:t xml:space="preserve">at </w:t>
      </w:r>
      <w:r w:rsidRPr="00EE04F1">
        <w:rPr>
          <w:lang w:val="de-DE"/>
        </w:rPr>
        <w:t>1619); Burchard</w:t>
      </w:r>
      <w:r>
        <w:rPr>
          <w:lang w:val="de-DE"/>
        </w:rPr>
        <w:t>,</w:t>
      </w:r>
      <w:r w:rsidRPr="004D5963">
        <w:rPr>
          <w:lang w:val="de-DE"/>
        </w:rPr>
        <w:t xml:space="preserve"> </w:t>
      </w:r>
      <w:r>
        <w:rPr>
          <w:lang w:val="de-DE"/>
        </w:rPr>
        <w:t>“</w:t>
      </w:r>
      <w:r w:rsidRPr="00CB796C">
        <w:rPr>
          <w:lang w:val="de-DE"/>
        </w:rPr>
        <w:t>§ 14 Auslieferung – Europäischer Haftbefehl</w:t>
      </w:r>
      <w:r>
        <w:rPr>
          <w:lang w:val="de-DE"/>
        </w:rPr>
        <w:t>“</w:t>
      </w:r>
      <w:r w:rsidRPr="00CB796C">
        <w:rPr>
          <w:lang w:val="de-DE"/>
        </w:rPr>
        <w:t xml:space="preserve"> in Böse (</w:t>
      </w:r>
      <w:r>
        <w:rPr>
          <w:lang w:val="de-DE"/>
        </w:rPr>
        <w:t>E</w:t>
      </w:r>
      <w:r w:rsidRPr="00CB796C">
        <w:rPr>
          <w:lang w:val="de-DE"/>
        </w:rPr>
        <w:t xml:space="preserve">d.), </w:t>
      </w:r>
      <w:r w:rsidRPr="00CB796C">
        <w:rPr>
          <w:i/>
          <w:lang w:val="de-DE"/>
        </w:rPr>
        <w:t>Europäisches Strafrecht</w:t>
      </w:r>
      <w:r w:rsidRPr="00CB796C">
        <w:rPr>
          <w:lang w:val="de-DE"/>
        </w:rPr>
        <w:t>, 2nd ed</w:t>
      </w:r>
      <w:r>
        <w:rPr>
          <w:lang w:val="de-DE"/>
        </w:rPr>
        <w:t>.</w:t>
      </w:r>
      <w:r w:rsidRPr="00CB796C">
        <w:rPr>
          <w:lang w:val="de-DE"/>
        </w:rPr>
        <w:t xml:space="preserve">, Nomos 2021, para. </w:t>
      </w:r>
      <w:r w:rsidRPr="0033147B">
        <w:rPr>
          <w:lang w:val="en-GB"/>
        </w:rPr>
        <w:t>55.</w:t>
      </w:r>
    </w:p>
  </w:footnote>
  <w:footnote w:id="221">
    <w:p w14:paraId="0409CF3D" w14:textId="1D346955" w:rsidR="00D81F47" w:rsidRPr="00A42021" w:rsidRDefault="00D81F47">
      <w:pPr>
        <w:pStyle w:val="Funotentext"/>
        <w:rPr>
          <w:lang w:val="en-US"/>
        </w:rPr>
      </w:pPr>
      <w:r>
        <w:rPr>
          <w:rStyle w:val="Funotenzeichen"/>
        </w:rPr>
        <w:footnoteRef/>
      </w:r>
      <w:r w:rsidRPr="0033147B">
        <w:rPr>
          <w:lang w:val="en-GB"/>
        </w:rPr>
        <w:t xml:space="preserve"> </w:t>
      </w:r>
      <w:r>
        <w:rPr>
          <w:lang w:val="en-US"/>
        </w:rPr>
        <w:t>A</w:t>
      </w:r>
      <w:r w:rsidRPr="00A42021">
        <w:rPr>
          <w:lang w:val="en-US"/>
        </w:rPr>
        <w:t>cademic expert</w:t>
      </w:r>
      <w:r>
        <w:rPr>
          <w:lang w:val="en-US"/>
        </w:rPr>
        <w:t xml:space="preserve"> (interview)</w:t>
      </w:r>
      <w:r w:rsidRPr="00A42021">
        <w:rPr>
          <w:lang w:val="en-US"/>
        </w:rPr>
        <w:t>.</w:t>
      </w:r>
    </w:p>
  </w:footnote>
  <w:footnote w:id="222">
    <w:p w14:paraId="0D6DEC6B" w14:textId="5DB1EF93" w:rsidR="00D81F47" w:rsidRPr="0033147B" w:rsidRDefault="00D81F47" w:rsidP="00D831F7">
      <w:pPr>
        <w:pStyle w:val="Funotentext"/>
        <w:rPr>
          <w:lang w:val="en-GB"/>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Public Prosecutor’s Office</w:t>
      </w:r>
      <w:r>
        <w:rPr>
          <w:rFonts w:asciiTheme="majorBidi" w:hAnsiTheme="majorBidi" w:cstheme="majorBidi"/>
          <w:color w:val="000000" w:themeColor="text1"/>
          <w:lang w:val="en-US"/>
        </w:rPr>
        <w:t xml:space="preserve"> I</w:t>
      </w:r>
      <w:r w:rsidRPr="00A87040">
        <w:rPr>
          <w:rFonts w:asciiTheme="majorBidi" w:hAnsiTheme="majorBidi" w:cstheme="majorBidi"/>
          <w:color w:val="000000" w:themeColor="text1"/>
          <w:lang w:val="en-US"/>
        </w:rPr>
        <w:t xml:space="preserve"> (interview). </w:t>
      </w:r>
      <w:r>
        <w:rPr>
          <w:lang w:val="en-US"/>
        </w:rPr>
        <w:t xml:space="preserve">According to a </w:t>
      </w:r>
      <w:r>
        <w:rPr>
          <w:lang w:val="en-GB"/>
        </w:rPr>
        <w:t>State’s</w:t>
      </w:r>
      <w:r w:rsidDel="005C1960">
        <w:rPr>
          <w:lang w:val="en-US"/>
        </w:rPr>
        <w:t xml:space="preserve"> </w:t>
      </w:r>
      <w:r w:rsidRPr="00A87040">
        <w:rPr>
          <w:rFonts w:asciiTheme="majorBidi" w:hAnsiTheme="majorBidi" w:cstheme="majorBidi"/>
          <w:color w:val="000000" w:themeColor="text1"/>
          <w:lang w:val="en-US"/>
        </w:rPr>
        <w:t>Ministry of Justice (inter</w:t>
      </w:r>
      <w:r>
        <w:rPr>
          <w:rFonts w:asciiTheme="majorBidi" w:hAnsiTheme="majorBidi" w:cstheme="majorBidi"/>
          <w:color w:val="000000" w:themeColor="text1"/>
          <w:lang w:val="en-US"/>
        </w:rPr>
        <w:t>view)</w:t>
      </w:r>
      <w:r>
        <w:rPr>
          <w:lang w:val="en-US"/>
        </w:rPr>
        <w:t>, no such case has been reported in its federal state.</w:t>
      </w:r>
    </w:p>
  </w:footnote>
  <w:footnote w:id="223">
    <w:p w14:paraId="6E79046A" w14:textId="65A5654B" w:rsidR="00D81F47" w:rsidRPr="00CB796C" w:rsidRDefault="00D81F47">
      <w:pPr>
        <w:pStyle w:val="Funotentext"/>
        <w:rPr>
          <w:lang w:val="en-US"/>
        </w:rPr>
      </w:pPr>
      <w:r>
        <w:rPr>
          <w:rStyle w:val="Funotenzeichen"/>
        </w:rPr>
        <w:footnoteRef/>
      </w:r>
      <w:r w:rsidRPr="0033147B">
        <w:rPr>
          <w:lang w:val="en-GB"/>
        </w:rPr>
        <w:t xml:space="preserve"> </w:t>
      </w:r>
      <w:r w:rsidRPr="00CB796C">
        <w:rPr>
          <w:lang w:val="en-US"/>
        </w:rPr>
        <w:t>Defence Lawyer</w:t>
      </w:r>
      <w:r w:rsidRPr="0033147B">
        <w:rPr>
          <w:lang w:val="en-GB"/>
        </w:rPr>
        <w:t xml:space="preserve"> </w:t>
      </w:r>
      <w:r w:rsidRPr="00CB796C">
        <w:rPr>
          <w:lang w:val="en-US"/>
        </w:rPr>
        <w:t xml:space="preserve">I (interview); Defence Lawyer </w:t>
      </w:r>
      <w:r>
        <w:rPr>
          <w:lang w:val="en-US"/>
        </w:rPr>
        <w:t>II</w:t>
      </w:r>
      <w:r w:rsidRPr="00CB796C">
        <w:rPr>
          <w:lang w:val="en-US"/>
        </w:rPr>
        <w:t xml:space="preserve"> (interview).</w:t>
      </w:r>
    </w:p>
  </w:footnote>
  <w:footnote w:id="224">
    <w:p w14:paraId="26DE5E17" w14:textId="26DAB6F2" w:rsidR="00D81F47" w:rsidRPr="00CB796C" w:rsidRDefault="00D81F47">
      <w:pPr>
        <w:pStyle w:val="Funotentext"/>
        <w:rPr>
          <w:lang w:val="en-US"/>
        </w:rPr>
      </w:pPr>
      <w:r>
        <w:rPr>
          <w:rStyle w:val="Funotenzeichen"/>
        </w:rPr>
        <w:footnoteRef/>
      </w:r>
      <w:r w:rsidRPr="0033147B">
        <w:rPr>
          <w:lang w:val="en-GB"/>
        </w:rPr>
        <w:t xml:space="preserve"> </w:t>
      </w:r>
      <w:r w:rsidRPr="000427FA">
        <w:rPr>
          <w:lang w:val="en-US"/>
        </w:rPr>
        <w:t xml:space="preserve">Defence Lawyer </w:t>
      </w:r>
      <w:r>
        <w:rPr>
          <w:lang w:val="en-US"/>
        </w:rPr>
        <w:t>II</w:t>
      </w:r>
      <w:r w:rsidRPr="000427FA">
        <w:rPr>
          <w:lang w:val="en-US"/>
        </w:rPr>
        <w:t xml:space="preserve"> (interview)</w:t>
      </w:r>
      <w:r w:rsidRPr="00CB796C">
        <w:rPr>
          <w:lang w:val="en-US"/>
        </w:rPr>
        <w:t>; see also Evaluation Report on Germany on the 9th round of mutual evaluations. Council-Document 7960/1/20 REV 1, p. 143.</w:t>
      </w:r>
    </w:p>
  </w:footnote>
  <w:footnote w:id="225">
    <w:p w14:paraId="6722A579" w14:textId="3103E72D" w:rsidR="00D81F47" w:rsidRPr="00777A20" w:rsidRDefault="00D81F47" w:rsidP="003A1EB0">
      <w:pPr>
        <w:pStyle w:val="Funotentext"/>
        <w:jc w:val="both"/>
        <w:rPr>
          <w:lang w:val="en-GB"/>
        </w:rPr>
      </w:pPr>
      <w:r>
        <w:rPr>
          <w:rStyle w:val="Funotenzeichen"/>
        </w:rPr>
        <w:footnoteRef/>
      </w:r>
      <w:r w:rsidRPr="00777A20">
        <w:rPr>
          <w:lang w:val="en-GB"/>
        </w:rPr>
        <w:t xml:space="preserve"> </w:t>
      </w:r>
      <w:r w:rsidRPr="00DE69B4">
        <w:rPr>
          <w:lang w:val="en-GB"/>
        </w:rPr>
        <w:t>Please note that Denmark and Ireland are not bound by Directive 2014/41/EU. Please take on board whether this causes problems from the perspective of the “coherent and effective” application of the instruments.</w:t>
      </w:r>
    </w:p>
  </w:footnote>
  <w:footnote w:id="226">
    <w:p w14:paraId="7D1945E6" w14:textId="49BDEA56" w:rsidR="00D81F47" w:rsidRPr="00777A20" w:rsidRDefault="00D81F47" w:rsidP="003A1EB0">
      <w:pPr>
        <w:pStyle w:val="Funotentext"/>
        <w:jc w:val="both"/>
        <w:rPr>
          <w:lang w:val="en-GB"/>
        </w:rPr>
      </w:pPr>
      <w:r>
        <w:rPr>
          <w:rStyle w:val="Funotenzeichen"/>
        </w:rPr>
        <w:footnoteRef/>
      </w:r>
      <w:r w:rsidRPr="00777A20">
        <w:rPr>
          <w:lang w:val="en-GB"/>
        </w:rPr>
        <w:t xml:space="preserve"> </w:t>
      </w:r>
      <w:r w:rsidRPr="005F4ACA">
        <w:rPr>
          <w:lang w:val="en-GB"/>
        </w:rPr>
        <w:t xml:space="preserve">It should be remembered that a temporary transfer </w:t>
      </w:r>
      <w:r>
        <w:rPr>
          <w:lang w:val="en-GB"/>
        </w:rPr>
        <w:t xml:space="preserve">to the issuing MS </w:t>
      </w:r>
      <w:r w:rsidRPr="005F4ACA">
        <w:rPr>
          <w:lang w:val="en-GB"/>
        </w:rPr>
        <w:t xml:space="preserve">is only possible if the person concerned is in custody in the </w:t>
      </w:r>
      <w:r w:rsidRPr="005F4ACA">
        <w:rPr>
          <w:i/>
          <w:iCs/>
          <w:lang w:val="en-GB"/>
        </w:rPr>
        <w:t>executing</w:t>
      </w:r>
      <w:r w:rsidRPr="005F4ACA">
        <w:rPr>
          <w:lang w:val="en-GB"/>
        </w:rPr>
        <w:t xml:space="preserve"> MS (see p. </w:t>
      </w:r>
      <w:r>
        <w:rPr>
          <w:lang w:val="en-GB"/>
        </w:rPr>
        <w:t>9</w:t>
      </w:r>
      <w:r w:rsidRPr="005F4ACA">
        <w:rPr>
          <w:lang w:val="en-GB"/>
        </w:rPr>
        <w:t>).</w:t>
      </w:r>
    </w:p>
  </w:footnote>
  <w:footnote w:id="227">
    <w:p w14:paraId="7CEC1DA2" w14:textId="2FA9226E" w:rsidR="00D81F47" w:rsidRPr="00CB796C" w:rsidRDefault="00D81F47" w:rsidP="00D831F7">
      <w:pPr>
        <w:pStyle w:val="Funotentext"/>
        <w:rPr>
          <w:lang w:val="en-US"/>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Public Prosecutor’s Office</w:t>
      </w:r>
      <w:r>
        <w:rPr>
          <w:rFonts w:asciiTheme="majorBidi" w:hAnsiTheme="majorBidi" w:cstheme="majorBidi"/>
          <w:color w:val="000000" w:themeColor="text1"/>
          <w:lang w:val="en-US"/>
        </w:rPr>
        <w:t xml:space="preserve"> I</w:t>
      </w:r>
      <w:r w:rsidRPr="00A87040">
        <w:rPr>
          <w:rFonts w:asciiTheme="majorBidi" w:hAnsiTheme="majorBidi" w:cstheme="majorBidi"/>
          <w:color w:val="000000" w:themeColor="text1"/>
          <w:lang w:val="en-US"/>
        </w:rPr>
        <w:t xml:space="preserve"> (interview).</w:t>
      </w:r>
    </w:p>
  </w:footnote>
  <w:footnote w:id="228">
    <w:p w14:paraId="196E50C6" w14:textId="73D9255D" w:rsidR="00D81F47" w:rsidRPr="00CB796C" w:rsidRDefault="00D81F47" w:rsidP="009D1FD5">
      <w:pPr>
        <w:pStyle w:val="Funotentext"/>
        <w:rPr>
          <w:rFonts w:asciiTheme="majorBidi" w:hAnsiTheme="majorBidi" w:cstheme="majorBidi"/>
          <w:color w:val="000000" w:themeColor="text1"/>
          <w:lang w:val="en-US"/>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Federal Ministry of Justice (interview)</w:t>
      </w:r>
      <w:r w:rsidRPr="00CB796C">
        <w:rPr>
          <w:lang w:val="en-US"/>
        </w:rPr>
        <w:t xml:space="preserve">; </w:t>
      </w:r>
      <w:r>
        <w:rPr>
          <w:lang w:val="en-GB"/>
        </w:rPr>
        <w:t>State’s</w:t>
      </w:r>
      <w:r w:rsidDel="005844F9">
        <w:rPr>
          <w:lang w:val="en-US"/>
        </w:rPr>
        <w:t xml:space="preserve"> </w:t>
      </w:r>
      <w:r w:rsidRPr="00A87040">
        <w:rPr>
          <w:rFonts w:asciiTheme="majorBidi" w:hAnsiTheme="majorBidi" w:cstheme="majorBidi"/>
          <w:color w:val="000000" w:themeColor="text1"/>
          <w:lang w:val="en-US"/>
        </w:rPr>
        <w:t>Ministry of Justice (inter</w:t>
      </w:r>
      <w:r>
        <w:rPr>
          <w:rFonts w:asciiTheme="majorBidi" w:hAnsiTheme="majorBidi" w:cstheme="majorBidi"/>
          <w:color w:val="000000" w:themeColor="text1"/>
          <w:lang w:val="en-US"/>
        </w:rPr>
        <w:t>view)</w:t>
      </w:r>
      <w:r w:rsidRPr="00CB796C">
        <w:rPr>
          <w:lang w:val="en-US"/>
        </w:rPr>
        <w:t>.</w:t>
      </w:r>
    </w:p>
  </w:footnote>
  <w:footnote w:id="229">
    <w:p w14:paraId="7855315B" w14:textId="50CC63B1" w:rsidR="00D81F47" w:rsidRPr="00CB796C" w:rsidRDefault="00D81F47" w:rsidP="00315754">
      <w:pPr>
        <w:pStyle w:val="Funotentext"/>
        <w:rPr>
          <w:lang w:val="en-US"/>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 xml:space="preserve">Public Prosecutor’s Office </w:t>
      </w:r>
      <w:r>
        <w:rPr>
          <w:rFonts w:asciiTheme="majorBidi" w:hAnsiTheme="majorBidi" w:cstheme="majorBidi"/>
          <w:color w:val="000000" w:themeColor="text1"/>
          <w:lang w:val="en-US"/>
        </w:rPr>
        <w:t>I</w:t>
      </w:r>
      <w:r w:rsidRPr="00A87040">
        <w:rPr>
          <w:rFonts w:asciiTheme="majorBidi" w:hAnsiTheme="majorBidi" w:cstheme="majorBidi"/>
          <w:color w:val="000000" w:themeColor="text1"/>
          <w:lang w:val="en-US"/>
        </w:rPr>
        <w:t xml:space="preserve"> (interview); Public Prosecutor’s Office</w:t>
      </w:r>
      <w:r>
        <w:rPr>
          <w:rFonts w:asciiTheme="majorBidi" w:hAnsiTheme="majorBidi" w:cstheme="majorBidi"/>
          <w:color w:val="000000" w:themeColor="text1"/>
          <w:lang w:val="en-US"/>
        </w:rPr>
        <w:t xml:space="preserve"> II</w:t>
      </w:r>
      <w:r w:rsidRPr="00A87040">
        <w:rPr>
          <w:rFonts w:asciiTheme="majorBidi" w:hAnsiTheme="majorBidi" w:cstheme="majorBidi"/>
          <w:color w:val="000000" w:themeColor="text1"/>
          <w:lang w:val="en-US"/>
        </w:rPr>
        <w:t xml:space="preserve"> (interview).</w:t>
      </w:r>
      <w:r>
        <w:rPr>
          <w:rFonts w:asciiTheme="majorBidi" w:hAnsiTheme="majorBidi" w:cstheme="majorBidi"/>
          <w:color w:val="000000" w:themeColor="text1"/>
          <w:lang w:val="en-US"/>
        </w:rPr>
        <w:t xml:space="preserve"> </w:t>
      </w:r>
    </w:p>
  </w:footnote>
  <w:footnote w:id="230">
    <w:p w14:paraId="10289648" w14:textId="3897B42D" w:rsidR="00D81F47" w:rsidRPr="00CB796C" w:rsidRDefault="00D81F47" w:rsidP="00BA6EEF">
      <w:pPr>
        <w:pStyle w:val="Funotentext"/>
        <w:rPr>
          <w:lang w:val="en-US"/>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Federal Ministry of Justice (interview).</w:t>
      </w:r>
      <w:r>
        <w:rPr>
          <w:rFonts w:asciiTheme="majorBidi" w:hAnsiTheme="majorBidi" w:cstheme="majorBidi"/>
          <w:color w:val="000000" w:themeColor="text1"/>
          <w:lang w:val="en-US"/>
        </w:rPr>
        <w:t xml:space="preserve"> </w:t>
      </w:r>
    </w:p>
  </w:footnote>
  <w:footnote w:id="231">
    <w:p w14:paraId="2FC0332D" w14:textId="0655AD8B" w:rsidR="00D81F47" w:rsidRPr="00CB796C" w:rsidRDefault="00D81F47" w:rsidP="00315754">
      <w:pPr>
        <w:pStyle w:val="Funotentext"/>
        <w:rPr>
          <w:lang w:val="en-US"/>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 xml:space="preserve">Public Prosecutor’s Office </w:t>
      </w:r>
      <w:r>
        <w:rPr>
          <w:rFonts w:asciiTheme="majorBidi" w:hAnsiTheme="majorBidi" w:cstheme="majorBidi"/>
          <w:color w:val="000000" w:themeColor="text1"/>
          <w:lang w:val="en-US"/>
        </w:rPr>
        <w:t>I</w:t>
      </w:r>
      <w:r w:rsidRPr="00A87040">
        <w:rPr>
          <w:rFonts w:asciiTheme="majorBidi" w:hAnsiTheme="majorBidi" w:cstheme="majorBidi"/>
          <w:color w:val="000000" w:themeColor="text1"/>
          <w:lang w:val="en-US"/>
        </w:rPr>
        <w:t xml:space="preserve"> (interview); Public Prosecutor’s Office</w:t>
      </w:r>
      <w:r>
        <w:rPr>
          <w:rFonts w:asciiTheme="majorBidi" w:hAnsiTheme="majorBidi" w:cstheme="majorBidi"/>
          <w:color w:val="000000" w:themeColor="text1"/>
          <w:lang w:val="en-US"/>
        </w:rPr>
        <w:t xml:space="preserve"> II</w:t>
      </w:r>
      <w:r w:rsidRPr="00A87040">
        <w:rPr>
          <w:rFonts w:asciiTheme="majorBidi" w:hAnsiTheme="majorBidi" w:cstheme="majorBidi"/>
          <w:color w:val="000000" w:themeColor="text1"/>
          <w:lang w:val="en-US"/>
        </w:rPr>
        <w:t xml:space="preserve"> (interview).</w:t>
      </w:r>
    </w:p>
  </w:footnote>
  <w:footnote w:id="232">
    <w:p w14:paraId="35D657F7" w14:textId="298F06E7" w:rsidR="00D81F47" w:rsidRPr="0033147B" w:rsidRDefault="00D81F47" w:rsidP="00315754">
      <w:pPr>
        <w:pStyle w:val="Funotentext"/>
        <w:rPr>
          <w:lang w:val="en-GB"/>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Public Prosecutor’s Office</w:t>
      </w:r>
      <w:r>
        <w:rPr>
          <w:rFonts w:asciiTheme="majorBidi" w:hAnsiTheme="majorBidi" w:cstheme="majorBidi"/>
          <w:color w:val="000000" w:themeColor="text1"/>
          <w:lang w:val="en-US"/>
        </w:rPr>
        <w:t xml:space="preserve"> I</w:t>
      </w:r>
      <w:r w:rsidRPr="00A87040">
        <w:rPr>
          <w:rFonts w:asciiTheme="majorBidi" w:hAnsiTheme="majorBidi" w:cstheme="majorBidi"/>
          <w:color w:val="000000" w:themeColor="text1"/>
          <w:lang w:val="en-US"/>
        </w:rPr>
        <w:t xml:space="preserve"> (interview)</w:t>
      </w:r>
      <w:r>
        <w:rPr>
          <w:rFonts w:asciiTheme="majorBidi" w:hAnsiTheme="majorBidi" w:cstheme="majorBidi"/>
          <w:color w:val="000000" w:themeColor="text1"/>
          <w:lang w:val="en-US"/>
        </w:rPr>
        <w:t>.</w:t>
      </w:r>
    </w:p>
  </w:footnote>
  <w:footnote w:id="233">
    <w:p w14:paraId="671FDE8A" w14:textId="6F08A694" w:rsidR="00D81F47" w:rsidRPr="00CB796C" w:rsidRDefault="00D81F47">
      <w:pPr>
        <w:pStyle w:val="Funotentext"/>
        <w:rPr>
          <w:lang w:val="en-US"/>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Public Prosecutor’s Office</w:t>
      </w:r>
      <w:r>
        <w:rPr>
          <w:rFonts w:asciiTheme="majorBidi" w:hAnsiTheme="majorBidi" w:cstheme="majorBidi"/>
          <w:color w:val="000000" w:themeColor="text1"/>
          <w:lang w:val="en-US"/>
        </w:rPr>
        <w:t xml:space="preserve"> I</w:t>
      </w:r>
      <w:r w:rsidRPr="00A87040">
        <w:rPr>
          <w:rFonts w:asciiTheme="majorBidi" w:hAnsiTheme="majorBidi" w:cstheme="majorBidi"/>
          <w:color w:val="000000" w:themeColor="text1"/>
          <w:lang w:val="en-US"/>
        </w:rPr>
        <w:t xml:space="preserve"> (interview).</w:t>
      </w:r>
    </w:p>
  </w:footnote>
  <w:footnote w:id="234">
    <w:p w14:paraId="53C7E64A" w14:textId="0557A53A" w:rsidR="00D81F47" w:rsidRPr="00CB796C" w:rsidRDefault="00D81F47" w:rsidP="003D22FC">
      <w:pPr>
        <w:pStyle w:val="Funotentext"/>
        <w:rPr>
          <w:lang w:val="en-US"/>
        </w:rPr>
      </w:pPr>
      <w:r>
        <w:rPr>
          <w:rStyle w:val="Funotenzeichen"/>
        </w:rPr>
        <w:footnoteRef/>
      </w:r>
      <w:r w:rsidRPr="0033147B">
        <w:rPr>
          <w:lang w:val="en-GB"/>
        </w:rPr>
        <w:t xml:space="preserve"> See the explanatory memorandum to the draft on the transposition of FD 2009/829/JHA into German law, Bundestags-Drucks</w:t>
      </w:r>
      <w:r w:rsidRPr="00CB796C">
        <w:rPr>
          <w:lang w:val="en-US"/>
        </w:rPr>
        <w:t>ache</w:t>
      </w:r>
      <w:r w:rsidRPr="0033147B">
        <w:rPr>
          <w:lang w:val="en-GB"/>
        </w:rPr>
        <w:t xml:space="preserve"> 18/4894, p. 18; Dornbusch</w:t>
      </w:r>
      <w:r w:rsidRPr="00CB796C">
        <w:rPr>
          <w:lang w:val="en-US"/>
        </w:rPr>
        <w:t>,</w:t>
      </w:r>
      <w:r w:rsidRPr="0033147B">
        <w:rPr>
          <w:lang w:val="en-GB"/>
        </w:rPr>
        <w:t xml:space="preserve"> </w:t>
      </w:r>
      <w:r w:rsidRPr="00CB796C">
        <w:rPr>
          <w:lang w:val="en-US"/>
        </w:rPr>
        <w:t>“</w:t>
      </w:r>
      <w:r w:rsidRPr="0033147B">
        <w:rPr>
          <w:lang w:val="en-GB"/>
        </w:rPr>
        <w:t>§ 90y</w:t>
      </w:r>
      <w:r w:rsidRPr="00CB796C">
        <w:rPr>
          <w:lang w:val="en-US"/>
        </w:rPr>
        <w:t>“</w:t>
      </w:r>
      <w:r w:rsidRPr="0033147B">
        <w:rPr>
          <w:lang w:val="en-GB"/>
        </w:rPr>
        <w:t xml:space="preserve"> in Grützner/Pötz/Kreß/Gazeas/Brodowski</w:t>
      </w:r>
      <w:r>
        <w:rPr>
          <w:lang w:val="en-US"/>
        </w:rPr>
        <w:t xml:space="preserve"> (Eds.)</w:t>
      </w:r>
      <w:r w:rsidRPr="0033147B">
        <w:rPr>
          <w:lang w:val="en-GB"/>
        </w:rPr>
        <w:t xml:space="preserve">, </w:t>
      </w:r>
      <w:r w:rsidRPr="0033147B">
        <w:rPr>
          <w:i/>
          <w:lang w:val="en-GB"/>
        </w:rPr>
        <w:t>Internationaler Rechtshilfeverkehr in Strafsachen</w:t>
      </w:r>
      <w:r w:rsidRPr="0033147B">
        <w:rPr>
          <w:lang w:val="en-GB"/>
        </w:rPr>
        <w:t>, 3rd ed</w:t>
      </w:r>
      <w:r>
        <w:rPr>
          <w:lang w:val="en-US"/>
        </w:rPr>
        <w:t>.</w:t>
      </w:r>
      <w:r w:rsidRPr="00CB796C">
        <w:rPr>
          <w:lang w:val="en-US"/>
        </w:rPr>
        <w:t xml:space="preserve"> (5</w:t>
      </w:r>
      <w:r>
        <w:rPr>
          <w:lang w:val="en-US"/>
        </w:rPr>
        <w:t>7</w:t>
      </w:r>
      <w:r w:rsidRPr="00CB796C">
        <w:rPr>
          <w:lang w:val="en-US"/>
        </w:rPr>
        <w:t>th instal</w:t>
      </w:r>
      <w:r>
        <w:rPr>
          <w:lang w:val="en-US"/>
        </w:rPr>
        <w:t>l</w:t>
      </w:r>
      <w:r w:rsidRPr="00CB796C">
        <w:rPr>
          <w:lang w:val="en-US"/>
        </w:rPr>
        <w:t>ment,</w:t>
      </w:r>
      <w:r>
        <w:rPr>
          <w:lang w:val="en-US"/>
        </w:rPr>
        <w:t xml:space="preserve"> C.F. Müller,</w:t>
      </w:r>
      <w:r w:rsidRPr="0033147B">
        <w:rPr>
          <w:lang w:val="en-GB"/>
        </w:rPr>
        <w:t xml:space="preserve"> </w:t>
      </w:r>
      <w:r>
        <w:rPr>
          <w:lang w:val="en-GB"/>
        </w:rPr>
        <w:t>Jun</w:t>
      </w:r>
      <w:r>
        <w:rPr>
          <w:lang w:val="en-US"/>
        </w:rPr>
        <w:t xml:space="preserve">. </w:t>
      </w:r>
      <w:r w:rsidRPr="00CB796C">
        <w:rPr>
          <w:lang w:val="en-US"/>
        </w:rPr>
        <w:t>202</w:t>
      </w:r>
      <w:r>
        <w:rPr>
          <w:lang w:val="en-US"/>
        </w:rPr>
        <w:t>4</w:t>
      </w:r>
      <w:r w:rsidRPr="00CB796C">
        <w:rPr>
          <w:lang w:val="en-US"/>
        </w:rPr>
        <w:t>), para. 2.</w:t>
      </w:r>
    </w:p>
  </w:footnote>
  <w:footnote w:id="235">
    <w:p w14:paraId="36DA7BBA" w14:textId="3F0BDFAF" w:rsidR="00D81F47" w:rsidRPr="00CB796C" w:rsidRDefault="00D81F47" w:rsidP="003D22FC">
      <w:pPr>
        <w:pStyle w:val="Funotentext"/>
        <w:rPr>
          <w:lang w:val="en-US"/>
        </w:rPr>
      </w:pPr>
      <w:r>
        <w:rPr>
          <w:rStyle w:val="Funotenzeichen"/>
        </w:rPr>
        <w:footnoteRef/>
      </w:r>
      <w:r w:rsidRPr="0033147B">
        <w:rPr>
          <w:lang w:val="en-GB"/>
        </w:rPr>
        <w:t xml:space="preserve"> See the explanatory memorandum to the draft on the transposition of FD 2009/829/JHA into German law, Bundestags-Drucks</w:t>
      </w:r>
      <w:r>
        <w:rPr>
          <w:lang w:val="en-US"/>
        </w:rPr>
        <w:t>ache</w:t>
      </w:r>
      <w:r w:rsidRPr="00CB796C">
        <w:rPr>
          <w:lang w:val="en-US"/>
        </w:rPr>
        <w:t xml:space="preserve"> 18/4894, p. 18, 59.</w:t>
      </w:r>
    </w:p>
  </w:footnote>
  <w:footnote w:id="236">
    <w:p w14:paraId="76C9560D" w14:textId="27DD278A" w:rsidR="00D81F47" w:rsidRPr="00EE04F1" w:rsidRDefault="00D81F47" w:rsidP="003D22FC">
      <w:pPr>
        <w:pStyle w:val="Funotentext"/>
        <w:rPr>
          <w:lang w:val="de-DE"/>
        </w:rPr>
      </w:pPr>
      <w:r>
        <w:rPr>
          <w:rStyle w:val="Funotenzeichen"/>
        </w:rPr>
        <w:footnoteRef/>
      </w:r>
      <w:r w:rsidRPr="00EE04F1">
        <w:rPr>
          <w:lang w:val="de-DE"/>
        </w:rPr>
        <w:t xml:space="preserve"> Dornbusch</w:t>
      </w:r>
      <w:r w:rsidRPr="00CB796C">
        <w:rPr>
          <w:lang w:val="de-DE"/>
        </w:rPr>
        <w:t>,</w:t>
      </w:r>
      <w:r w:rsidRPr="00EE04F1">
        <w:rPr>
          <w:lang w:val="de-DE"/>
        </w:rPr>
        <w:t xml:space="preserve"> </w:t>
      </w:r>
      <w:r w:rsidRPr="00CB796C">
        <w:rPr>
          <w:lang w:val="de-DE"/>
        </w:rPr>
        <w:t>“§ 90y” in Grützner/Pötz/Kreß/Gazeas/Brodowski (Eds.)</w:t>
      </w:r>
      <w:r w:rsidRPr="00EE04F1">
        <w:rPr>
          <w:lang w:val="de-DE"/>
        </w:rPr>
        <w:t xml:space="preserve">, </w:t>
      </w:r>
      <w:r w:rsidRPr="00EE04F1">
        <w:rPr>
          <w:i/>
          <w:lang w:val="de-DE"/>
        </w:rPr>
        <w:t>Internationaler Rechtshilfeverkehr in Strafsachen</w:t>
      </w:r>
      <w:r w:rsidRPr="00EE04F1">
        <w:rPr>
          <w:lang w:val="de-DE"/>
        </w:rPr>
        <w:t>, 3rd ed</w:t>
      </w:r>
      <w:r w:rsidRPr="00CB796C">
        <w:rPr>
          <w:lang w:val="de-DE"/>
        </w:rPr>
        <w:t xml:space="preserve">. </w:t>
      </w:r>
      <w:r w:rsidRPr="00DB00C9">
        <w:rPr>
          <w:lang w:val="de-DE"/>
        </w:rPr>
        <w:t>(5</w:t>
      </w:r>
      <w:r>
        <w:rPr>
          <w:lang w:val="de-DE"/>
        </w:rPr>
        <w:t>7</w:t>
      </w:r>
      <w:r w:rsidRPr="00DB00C9">
        <w:rPr>
          <w:lang w:val="de-DE"/>
        </w:rPr>
        <w:t>th instal</w:t>
      </w:r>
      <w:r>
        <w:rPr>
          <w:lang w:val="de-DE"/>
        </w:rPr>
        <w:t>l</w:t>
      </w:r>
      <w:r w:rsidRPr="00DB00C9">
        <w:rPr>
          <w:lang w:val="de-DE"/>
        </w:rPr>
        <w:t xml:space="preserve">ment, C.F. Müller, </w:t>
      </w:r>
      <w:r>
        <w:rPr>
          <w:lang w:val="de-DE"/>
        </w:rPr>
        <w:t>Jun</w:t>
      </w:r>
      <w:r w:rsidRPr="00DB00C9">
        <w:rPr>
          <w:lang w:val="de-DE"/>
        </w:rPr>
        <w:t>. 202</w:t>
      </w:r>
      <w:r>
        <w:rPr>
          <w:lang w:val="de-DE"/>
        </w:rPr>
        <w:t>4</w:t>
      </w:r>
      <w:r w:rsidRPr="00DB00C9">
        <w:rPr>
          <w:lang w:val="de-DE"/>
        </w:rPr>
        <w:t xml:space="preserve">), para. </w:t>
      </w:r>
      <w:r w:rsidRPr="00EE04F1">
        <w:rPr>
          <w:lang w:val="de-DE"/>
        </w:rPr>
        <w:t>2.</w:t>
      </w:r>
    </w:p>
  </w:footnote>
  <w:footnote w:id="237">
    <w:p w14:paraId="01A3B6B0" w14:textId="39EB73BA" w:rsidR="00D81F47" w:rsidRPr="00EE04F1" w:rsidRDefault="00D81F47">
      <w:pPr>
        <w:pStyle w:val="Funotentext"/>
        <w:rPr>
          <w:lang w:val="de-DE"/>
        </w:rPr>
      </w:pPr>
      <w:r>
        <w:rPr>
          <w:rStyle w:val="Funotenzeichen"/>
        </w:rPr>
        <w:footnoteRef/>
      </w:r>
      <w:r w:rsidRPr="00EE04F1">
        <w:rPr>
          <w:lang w:val="de-DE"/>
        </w:rPr>
        <w:t xml:space="preserve"> Morgenstern</w:t>
      </w:r>
      <w:r>
        <w:rPr>
          <w:lang w:val="de-DE"/>
        </w:rPr>
        <w:t>,</w:t>
      </w:r>
      <w:r w:rsidRPr="00EE04F1">
        <w:rPr>
          <w:lang w:val="de-DE"/>
        </w:rPr>
        <w:t xml:space="preserve"> </w:t>
      </w:r>
      <w:r w:rsidRPr="00CB796C">
        <w:rPr>
          <w:lang w:val="de-DE"/>
        </w:rPr>
        <w:t>“Die Europäische Überwachungsanordnung - Überkomplexes Ungetüm oder sinnvolles Instrument zur Untersuchungshaftvermeidung von Ausländern?</w:t>
      </w:r>
      <w:r>
        <w:rPr>
          <w:lang w:val="de-DE"/>
        </w:rPr>
        <w:t>“</w:t>
      </w:r>
      <w:r w:rsidRPr="00CB796C">
        <w:rPr>
          <w:lang w:val="de-DE"/>
        </w:rPr>
        <w:t xml:space="preserve"> in </w:t>
      </w:r>
      <w:r>
        <w:rPr>
          <w:lang w:val="de-DE"/>
        </w:rPr>
        <w:t>(</w:t>
      </w:r>
      <w:r w:rsidRPr="00EE04F1">
        <w:rPr>
          <w:lang w:val="de-DE"/>
        </w:rPr>
        <w:t>2014</w:t>
      </w:r>
      <w:r>
        <w:rPr>
          <w:lang w:val="de-DE"/>
        </w:rPr>
        <w:t>)</w:t>
      </w:r>
      <w:r w:rsidRPr="00EE04F1">
        <w:rPr>
          <w:lang w:val="de-DE"/>
        </w:rPr>
        <w:t xml:space="preserve"> </w:t>
      </w:r>
      <w:r w:rsidRPr="00EE04F1">
        <w:rPr>
          <w:i/>
          <w:lang w:val="de-DE"/>
        </w:rPr>
        <w:t>Zeitschrift für Internationale Strafrechtsdogmatik</w:t>
      </w:r>
      <w:r>
        <w:rPr>
          <w:i/>
          <w:lang w:val="de-DE"/>
        </w:rPr>
        <w:t>,</w:t>
      </w:r>
      <w:r w:rsidRPr="00EE04F1">
        <w:rPr>
          <w:i/>
          <w:lang w:val="de-DE"/>
        </w:rPr>
        <w:t xml:space="preserve"> </w:t>
      </w:r>
      <w:r w:rsidRPr="00EE04F1">
        <w:rPr>
          <w:lang w:val="de-DE"/>
        </w:rPr>
        <w:t>216 (</w:t>
      </w:r>
      <w:r>
        <w:rPr>
          <w:lang w:val="de-DE"/>
        </w:rPr>
        <w:t xml:space="preserve">at </w:t>
      </w:r>
      <w:r w:rsidRPr="00EE04F1">
        <w:rPr>
          <w:lang w:val="de-DE"/>
        </w:rPr>
        <w:t>229).</w:t>
      </w:r>
    </w:p>
  </w:footnote>
  <w:footnote w:id="238">
    <w:p w14:paraId="5A1BEB97" w14:textId="52C7E9E7" w:rsidR="00D81F47" w:rsidRPr="00EE04F1" w:rsidRDefault="00D81F47">
      <w:pPr>
        <w:pStyle w:val="Funotentext"/>
        <w:rPr>
          <w:lang w:val="de-DE"/>
        </w:rPr>
      </w:pPr>
      <w:r>
        <w:rPr>
          <w:rStyle w:val="Funotenzeichen"/>
        </w:rPr>
        <w:footnoteRef/>
      </w:r>
      <w:r w:rsidRPr="00EE04F1">
        <w:rPr>
          <w:lang w:val="de-DE"/>
        </w:rPr>
        <w:t xml:space="preserve"> Schlothauer</w:t>
      </w:r>
      <w:r>
        <w:rPr>
          <w:lang w:val="de-DE"/>
        </w:rPr>
        <w:t>,</w:t>
      </w:r>
      <w:r w:rsidRPr="00EE04F1">
        <w:rPr>
          <w:lang w:val="de-DE"/>
        </w:rPr>
        <w:t xml:space="preserve"> </w:t>
      </w:r>
      <w:r>
        <w:rPr>
          <w:lang w:val="de-DE"/>
        </w:rPr>
        <w:t>“</w:t>
      </w:r>
      <w:r w:rsidRPr="00CB796C">
        <w:rPr>
          <w:lang w:val="de-DE"/>
        </w:rPr>
        <w:t>Haftverschonung bei Untersuchungshaft im europäischen Kontext</w:t>
      </w:r>
      <w:r>
        <w:rPr>
          <w:lang w:val="de-DE"/>
        </w:rPr>
        <w:t>“</w:t>
      </w:r>
      <w:r w:rsidRPr="00CB796C">
        <w:rPr>
          <w:lang w:val="de-DE"/>
        </w:rPr>
        <w:t xml:space="preserve"> in Herzog/Schlothauer/Wohlers/Wolter (</w:t>
      </w:r>
      <w:r>
        <w:rPr>
          <w:lang w:val="de-DE"/>
        </w:rPr>
        <w:t>E</w:t>
      </w:r>
      <w:r w:rsidRPr="00CB796C">
        <w:rPr>
          <w:lang w:val="de-DE"/>
        </w:rPr>
        <w:t>ds</w:t>
      </w:r>
      <w:r>
        <w:rPr>
          <w:lang w:val="de-DE"/>
        </w:rPr>
        <w:t>.</w:t>
      </w:r>
      <w:r w:rsidRPr="00EE04F1">
        <w:rPr>
          <w:lang w:val="de-DE"/>
        </w:rPr>
        <w:t>)</w:t>
      </w:r>
      <w:r>
        <w:rPr>
          <w:lang w:val="de-DE"/>
        </w:rPr>
        <w:t>,</w:t>
      </w:r>
      <w:r w:rsidRPr="00EE04F1">
        <w:rPr>
          <w:lang w:val="de-DE"/>
        </w:rPr>
        <w:t xml:space="preserve"> </w:t>
      </w:r>
      <w:r w:rsidRPr="00EE04F1">
        <w:rPr>
          <w:i/>
          <w:lang w:val="de-DE"/>
        </w:rPr>
        <w:t>Rechtsstaatlicher Strafprozess und Bürgerrechte</w:t>
      </w:r>
      <w:r w:rsidRPr="00EE04F1">
        <w:rPr>
          <w:lang w:val="de-DE"/>
        </w:rPr>
        <w:t xml:space="preserve"> </w:t>
      </w:r>
      <w:r>
        <w:rPr>
          <w:lang w:val="de-DE"/>
        </w:rPr>
        <w:t>(</w:t>
      </w:r>
      <w:r w:rsidRPr="00EE04F1">
        <w:rPr>
          <w:lang w:val="de-DE"/>
        </w:rPr>
        <w:t>2016</w:t>
      </w:r>
      <w:r>
        <w:rPr>
          <w:lang w:val="de-DE"/>
        </w:rPr>
        <w:t>)</w:t>
      </w:r>
      <w:r w:rsidRPr="00EE04F1">
        <w:rPr>
          <w:lang w:val="de-DE"/>
        </w:rPr>
        <w:t>, p. 313 (</w:t>
      </w:r>
      <w:r>
        <w:rPr>
          <w:lang w:val="de-DE"/>
        </w:rPr>
        <w:t xml:space="preserve">at </w:t>
      </w:r>
      <w:r w:rsidRPr="00EE04F1">
        <w:rPr>
          <w:lang w:val="de-DE"/>
        </w:rPr>
        <w:t>324).</w:t>
      </w:r>
    </w:p>
  </w:footnote>
  <w:footnote w:id="239">
    <w:p w14:paraId="5ED69BA2" w14:textId="55412EEC" w:rsidR="00D81F47" w:rsidRPr="00EE04F1" w:rsidRDefault="00D81F47">
      <w:pPr>
        <w:pStyle w:val="Funotentext"/>
        <w:rPr>
          <w:lang w:val="de-DE"/>
        </w:rPr>
      </w:pPr>
      <w:r>
        <w:rPr>
          <w:rStyle w:val="Funotenzeichen"/>
        </w:rPr>
        <w:footnoteRef/>
      </w:r>
      <w:r w:rsidRPr="00EE04F1">
        <w:rPr>
          <w:lang w:val="de-DE"/>
        </w:rPr>
        <w:t xml:space="preserve"> Wolf</w:t>
      </w:r>
      <w:r>
        <w:rPr>
          <w:lang w:val="de-DE"/>
        </w:rPr>
        <w:t>,</w:t>
      </w:r>
      <w:r w:rsidRPr="00EE04F1">
        <w:rPr>
          <w:lang w:val="de-DE"/>
        </w:rPr>
        <w:t xml:space="preserve"> </w:t>
      </w:r>
      <w:r>
        <w:rPr>
          <w:lang w:val="de-DE"/>
        </w:rPr>
        <w:t>“</w:t>
      </w:r>
      <w:r w:rsidRPr="00CB796C">
        <w:rPr>
          <w:lang w:val="de-DE"/>
        </w:rPr>
        <w:t>Fluchtvermutung statt Fluchtprognose - zur Diskriminierung von EU-Ausländern in der Fluchtgefahrpraxis</w:t>
      </w:r>
      <w:r>
        <w:rPr>
          <w:lang w:val="de-DE"/>
        </w:rPr>
        <w:t>“,</w:t>
      </w:r>
      <w:r w:rsidRPr="00CB796C">
        <w:rPr>
          <w:lang w:val="de-DE"/>
        </w:rPr>
        <w:t xml:space="preserve"> </w:t>
      </w:r>
      <w:r>
        <w:rPr>
          <w:lang w:val="de-DE"/>
        </w:rPr>
        <w:t>(</w:t>
      </w:r>
      <w:r w:rsidRPr="00EE04F1">
        <w:rPr>
          <w:lang w:val="de-DE"/>
        </w:rPr>
        <w:t>2019</w:t>
      </w:r>
      <w:r>
        <w:rPr>
          <w:lang w:val="de-DE"/>
        </w:rPr>
        <w:t>)</w:t>
      </w:r>
      <w:r w:rsidRPr="00422174">
        <w:rPr>
          <w:lang w:val="de-DE"/>
        </w:rPr>
        <w:t xml:space="preserve"> </w:t>
      </w:r>
      <w:r w:rsidRPr="00422174">
        <w:rPr>
          <w:i/>
          <w:lang w:val="de-DE"/>
        </w:rPr>
        <w:t>Strafverteidiger</w:t>
      </w:r>
      <w:r>
        <w:rPr>
          <w:i/>
          <w:lang w:val="de-DE"/>
        </w:rPr>
        <w:t>,</w:t>
      </w:r>
      <w:r w:rsidRPr="00EE04F1">
        <w:rPr>
          <w:i/>
          <w:lang w:val="de-DE"/>
        </w:rPr>
        <w:t xml:space="preserve"> </w:t>
      </w:r>
      <w:r w:rsidRPr="00EE04F1">
        <w:rPr>
          <w:lang w:val="de-DE"/>
        </w:rPr>
        <w:t>573 (</w:t>
      </w:r>
      <w:r>
        <w:rPr>
          <w:lang w:val="de-DE"/>
        </w:rPr>
        <w:t xml:space="preserve">at </w:t>
      </w:r>
      <w:r w:rsidRPr="00EE04F1">
        <w:rPr>
          <w:lang w:val="de-DE"/>
        </w:rPr>
        <w:t>574-575).</w:t>
      </w:r>
    </w:p>
  </w:footnote>
  <w:footnote w:id="240">
    <w:p w14:paraId="070856CD" w14:textId="719421CA" w:rsidR="00D81F47" w:rsidRPr="0033147B" w:rsidRDefault="00D81F47">
      <w:pPr>
        <w:pStyle w:val="Funotentext"/>
        <w:rPr>
          <w:lang w:val="en-GB"/>
        </w:rPr>
      </w:pPr>
      <w:r>
        <w:rPr>
          <w:rStyle w:val="Funotenzeichen"/>
        </w:rPr>
        <w:footnoteRef/>
      </w:r>
      <w:r w:rsidRPr="0033147B">
        <w:rPr>
          <w:lang w:val="en-GB"/>
        </w:rPr>
        <w:t xml:space="preserve"> </w:t>
      </w:r>
      <w:r w:rsidRPr="00CB796C">
        <w:rPr>
          <w:lang w:val="en-US"/>
        </w:rPr>
        <w:t>Defence Lawyer</w:t>
      </w:r>
      <w:r w:rsidRPr="0033147B">
        <w:rPr>
          <w:lang w:val="en-GB"/>
        </w:rPr>
        <w:t xml:space="preserve"> </w:t>
      </w:r>
      <w:r>
        <w:rPr>
          <w:lang w:val="en-US"/>
        </w:rPr>
        <w:t>I</w:t>
      </w:r>
      <w:r w:rsidRPr="00CB796C">
        <w:rPr>
          <w:lang w:val="en-US"/>
        </w:rPr>
        <w:t>I</w:t>
      </w:r>
      <w:r>
        <w:rPr>
          <w:lang w:val="en-US"/>
        </w:rPr>
        <w:t>I</w:t>
      </w:r>
      <w:r w:rsidRPr="00CB796C">
        <w:rPr>
          <w:lang w:val="en-US"/>
        </w:rPr>
        <w:t xml:space="preserve"> (interview). </w:t>
      </w:r>
    </w:p>
  </w:footnote>
  <w:footnote w:id="241">
    <w:p w14:paraId="2A029389" w14:textId="5AE12CDB" w:rsidR="00D81F47" w:rsidRPr="00CB796C" w:rsidRDefault="00D81F47">
      <w:pPr>
        <w:pStyle w:val="Funotentext"/>
        <w:rPr>
          <w:lang w:val="en-US"/>
        </w:rPr>
      </w:pPr>
      <w:r>
        <w:rPr>
          <w:rStyle w:val="Funotenzeichen"/>
        </w:rPr>
        <w:footnoteRef/>
      </w:r>
      <w:r w:rsidRPr="0033147B">
        <w:rPr>
          <w:lang w:val="en-GB"/>
        </w:rPr>
        <w:t xml:space="preserve"> </w:t>
      </w:r>
      <w:r w:rsidRPr="000427FA">
        <w:rPr>
          <w:lang w:val="en-US"/>
        </w:rPr>
        <w:t xml:space="preserve">Defence Lawyer </w:t>
      </w:r>
      <w:r>
        <w:rPr>
          <w:lang w:val="en-US"/>
        </w:rPr>
        <w:t>I</w:t>
      </w:r>
      <w:r w:rsidRPr="000427FA">
        <w:rPr>
          <w:lang w:val="en-US"/>
        </w:rPr>
        <w:t>I</w:t>
      </w:r>
      <w:r>
        <w:rPr>
          <w:lang w:val="en-US"/>
        </w:rPr>
        <w:t>I</w:t>
      </w:r>
      <w:r w:rsidRPr="000427FA">
        <w:rPr>
          <w:lang w:val="en-US"/>
        </w:rPr>
        <w:t xml:space="preserve"> (interview)</w:t>
      </w:r>
      <w:r w:rsidRPr="00CB796C">
        <w:rPr>
          <w:lang w:val="en-US"/>
        </w:rPr>
        <w:t>; see also Evaluation Report on Germany on the 9th round of mutual evaluations. Council-Document 7960/1/20 REV 1, p. 143.</w:t>
      </w:r>
    </w:p>
  </w:footnote>
  <w:footnote w:id="242">
    <w:p w14:paraId="4DE7D91F" w14:textId="105B71B6" w:rsidR="00D81F47" w:rsidRPr="0033147B" w:rsidRDefault="00D81F47" w:rsidP="00877538">
      <w:pPr>
        <w:pStyle w:val="Funotentext"/>
        <w:rPr>
          <w:lang w:val="en-GB"/>
        </w:rPr>
      </w:pPr>
      <w:r>
        <w:rPr>
          <w:rStyle w:val="Funotenzeichen"/>
        </w:rPr>
        <w:footnoteRef/>
      </w:r>
      <w:r w:rsidRPr="0033147B">
        <w:rPr>
          <w:lang w:val="en-GB"/>
        </w:rPr>
        <w:t xml:space="preserve"> Regulation (EU) 2023/2844 of the European Parliament and of the Council of 13 December 2023 on the digitali</w:t>
      </w:r>
      <w:r>
        <w:rPr>
          <w:lang w:val="en-US"/>
        </w:rPr>
        <w:t>s</w:t>
      </w:r>
      <w:r w:rsidRPr="00CB796C">
        <w:rPr>
          <w:lang w:val="en-US"/>
        </w:rPr>
        <w:t xml:space="preserve">ation of judicial cooperation and access to justice in cross-border civil, commercial and criminal matters, and amending certain acts in the field of judicial cooperation, </w:t>
      </w:r>
      <w:r w:rsidRPr="00E40716">
        <w:rPr>
          <w:i/>
          <w:lang w:val="en-US"/>
        </w:rPr>
        <w:t>OJ</w:t>
      </w:r>
      <w:r w:rsidRPr="0033147B">
        <w:rPr>
          <w:lang w:val="en-GB"/>
        </w:rPr>
        <w:t xml:space="preserve"> L 2023/2844</w:t>
      </w:r>
      <w:r>
        <w:rPr>
          <w:lang w:val="en-GB"/>
        </w:rPr>
        <w:t>; see also section 164(1) No. 1 of the draft bill on the reform of the AICCM</w:t>
      </w:r>
      <w:r w:rsidRPr="0033147B">
        <w:rPr>
          <w:lang w:val="en-GB"/>
        </w:rPr>
        <w:t>.</w:t>
      </w:r>
    </w:p>
  </w:footnote>
  <w:footnote w:id="243">
    <w:p w14:paraId="0078D3E3" w14:textId="0C0712F3" w:rsidR="00D81F47" w:rsidRPr="001E23E0" w:rsidRDefault="00D81F47">
      <w:pPr>
        <w:pStyle w:val="Funotentext"/>
      </w:pPr>
      <w:r>
        <w:rPr>
          <w:rStyle w:val="Funotenzeichen"/>
        </w:rPr>
        <w:footnoteRef/>
      </w:r>
      <w:r>
        <w:t xml:space="preserve"> Voß and Singer, “Digitalisierung der justiziellen Zusammenarbeit”, (2024) </w:t>
      </w:r>
      <w:r w:rsidRPr="0025634F">
        <w:rPr>
          <w:i/>
        </w:rPr>
        <w:t>Recht Digital</w:t>
      </w:r>
      <w:r>
        <w:t>, 173 (at 179).</w:t>
      </w:r>
    </w:p>
  </w:footnote>
  <w:footnote w:id="244">
    <w:p w14:paraId="0BF1977E" w14:textId="340E479F" w:rsidR="00D81F47" w:rsidRPr="0033147B" w:rsidRDefault="00D81F47">
      <w:pPr>
        <w:pStyle w:val="Funotentext"/>
        <w:rPr>
          <w:lang w:val="en-GB"/>
        </w:rPr>
      </w:pPr>
      <w:r>
        <w:rPr>
          <w:rStyle w:val="Funotenzeichen"/>
        </w:rPr>
        <w:footnoteRef/>
      </w:r>
      <w:r w:rsidRPr="0033147B">
        <w:rPr>
          <w:lang w:val="en-GB"/>
        </w:rPr>
        <w:t xml:space="preserve"> </w:t>
      </w:r>
      <w:r>
        <w:rPr>
          <w:lang w:val="en-GB"/>
        </w:rPr>
        <w:t>State’s</w:t>
      </w:r>
      <w:r w:rsidDel="005844F9">
        <w:rPr>
          <w:lang w:val="en-GB"/>
        </w:rPr>
        <w:t xml:space="preserve"> </w:t>
      </w:r>
      <w:r w:rsidRPr="00A87040">
        <w:rPr>
          <w:rFonts w:asciiTheme="majorBidi" w:hAnsiTheme="majorBidi" w:cstheme="majorBidi"/>
          <w:color w:val="000000" w:themeColor="text1"/>
          <w:lang w:val="en-US"/>
        </w:rPr>
        <w:t>Ministry of Justice (interview)</w:t>
      </w:r>
      <w:r w:rsidRPr="00CB796C">
        <w:rPr>
          <w:lang w:val="en-US"/>
        </w:rPr>
        <w:t>; District Court</w:t>
      </w:r>
      <w:r>
        <w:rPr>
          <w:lang w:val="en-US"/>
        </w:rPr>
        <w:t xml:space="preserve"> (interview)</w:t>
      </w:r>
      <w:r w:rsidRPr="0033147B">
        <w:rPr>
          <w:lang w:val="en-GB"/>
        </w:rPr>
        <w:t>.</w:t>
      </w:r>
    </w:p>
  </w:footnote>
  <w:footnote w:id="245">
    <w:p w14:paraId="49766B10" w14:textId="22DE5C5B" w:rsidR="00D81F47" w:rsidRPr="0033147B" w:rsidRDefault="00D81F47">
      <w:pPr>
        <w:pStyle w:val="Funotentext"/>
        <w:rPr>
          <w:lang w:val="en-GB"/>
        </w:rPr>
      </w:pPr>
      <w:r>
        <w:rPr>
          <w:rStyle w:val="Funotenzeichen"/>
        </w:rPr>
        <w:footnoteRef/>
      </w:r>
      <w:r w:rsidRPr="0033147B">
        <w:rPr>
          <w:lang w:val="en-GB"/>
        </w:rPr>
        <w:t xml:space="preserve"> Evaluation Report on Germany on the 9th round of mutual evaluations. Council-Document 7960/1/20 REV 1, p. 134-135; see also with reg</w:t>
      </w:r>
      <w:r>
        <w:rPr>
          <w:lang w:val="en-US"/>
        </w:rPr>
        <w:t>a</w:t>
      </w:r>
      <w:r w:rsidRPr="0033147B">
        <w:rPr>
          <w:lang w:val="en-GB"/>
        </w:rPr>
        <w:t>rd to the trial phase District Court (interview).</w:t>
      </w:r>
    </w:p>
  </w:footnote>
  <w:footnote w:id="246">
    <w:p w14:paraId="479936FC" w14:textId="11508176" w:rsidR="00D81F47" w:rsidRPr="0033147B" w:rsidRDefault="00D81F47" w:rsidP="0084430B">
      <w:pPr>
        <w:pStyle w:val="Funotentext"/>
        <w:rPr>
          <w:lang w:val="en-GB"/>
        </w:rPr>
      </w:pPr>
      <w:r>
        <w:rPr>
          <w:rStyle w:val="Funotenzeichen"/>
        </w:rPr>
        <w:footnoteRef/>
      </w:r>
      <w:r w:rsidRPr="0033147B">
        <w:rPr>
          <w:lang w:val="en-GB"/>
        </w:rPr>
        <w:t xml:space="preserve"> </w:t>
      </w:r>
      <w:r>
        <w:rPr>
          <w:lang w:val="en-GB"/>
        </w:rPr>
        <w:t>State’s</w:t>
      </w:r>
      <w:r w:rsidDel="00B876BA">
        <w:rPr>
          <w:lang w:val="en-GB"/>
        </w:rPr>
        <w:t xml:space="preserve"> </w:t>
      </w:r>
      <w:r w:rsidRPr="00A87040">
        <w:rPr>
          <w:rFonts w:asciiTheme="majorBidi" w:hAnsiTheme="majorBidi" w:cstheme="majorBidi"/>
          <w:color w:val="000000" w:themeColor="text1"/>
          <w:lang w:val="en-US"/>
        </w:rPr>
        <w:t>Ministry of Justice (interview)</w:t>
      </w:r>
      <w:r>
        <w:rPr>
          <w:rFonts w:asciiTheme="majorBidi" w:hAnsiTheme="majorBidi" w:cstheme="majorBidi"/>
          <w:color w:val="000000" w:themeColor="text1"/>
          <w:lang w:val="en-US"/>
        </w:rPr>
        <w:t xml:space="preserve">; also expressly listed as criteria for requesting the transfer of criminal proceedings in Art. 5(2) lit. c and d of </w:t>
      </w:r>
      <w:r>
        <w:rPr>
          <w:lang w:val="en-US"/>
        </w:rPr>
        <w:t>Regulation (EU) 2024/3011 on the transfer of proceedings in criminal matters</w:t>
      </w:r>
      <w:r>
        <w:rPr>
          <w:rFonts w:asciiTheme="majorBidi" w:hAnsiTheme="majorBidi" w:cstheme="majorBidi"/>
          <w:color w:val="000000" w:themeColor="text1"/>
          <w:lang w:val="en-US"/>
        </w:rPr>
        <w:t xml:space="preserve">. </w:t>
      </w:r>
    </w:p>
  </w:footnote>
  <w:footnote w:id="247">
    <w:p w14:paraId="482E8E59" w14:textId="77777777" w:rsidR="00D81F47" w:rsidRPr="00353C2A" w:rsidRDefault="00D81F47" w:rsidP="001A090D">
      <w:pPr>
        <w:pStyle w:val="Funotentext"/>
        <w:jc w:val="both"/>
        <w:rPr>
          <w:lang w:val="en-GB"/>
        </w:rPr>
      </w:pPr>
      <w:r w:rsidRPr="00353C2A">
        <w:rPr>
          <w:rStyle w:val="Funotenzeichen"/>
          <w:rFonts w:eastAsiaTheme="majorEastAsia"/>
        </w:rPr>
        <w:footnoteRef/>
      </w:r>
      <w:r w:rsidRPr="00353C2A">
        <w:rPr>
          <w:lang w:val="en-GB"/>
        </w:rPr>
        <w:t xml:space="preserve"> See the Introduction to section 2.2.</w:t>
      </w:r>
    </w:p>
  </w:footnote>
  <w:footnote w:id="248">
    <w:p w14:paraId="3D17CD24" w14:textId="411EC090" w:rsidR="00D81F47" w:rsidRPr="00353C2A" w:rsidRDefault="00D81F47" w:rsidP="003A1EB0">
      <w:pPr>
        <w:pStyle w:val="Funotentext"/>
        <w:jc w:val="both"/>
        <w:rPr>
          <w:lang w:val="en-GB"/>
        </w:rPr>
      </w:pPr>
      <w:r w:rsidRPr="00353C2A">
        <w:rPr>
          <w:rStyle w:val="Funotenzeichen"/>
          <w:rFonts w:eastAsiaTheme="majorEastAsia"/>
        </w:rPr>
        <w:footnoteRef/>
      </w:r>
      <w:r w:rsidRPr="00353C2A">
        <w:rPr>
          <w:lang w:val="en-GB"/>
        </w:rPr>
        <w:t xml:space="preserve"> In the pre-trial stage, we distinguish between situations in which detention on remand is not possible (yet) (substage 1) and situations in which it is possible (substage 2). That distinction is not repeated in the trial stage. We consider the </w:t>
      </w:r>
      <w:r>
        <w:rPr>
          <w:lang w:val="en-GB"/>
        </w:rPr>
        <w:t>relation between the pre-trial sate and the trial stage to be of a chronological nature</w:t>
      </w:r>
      <w:r w:rsidRPr="00353C2A">
        <w:rPr>
          <w:lang w:val="en-GB"/>
        </w:rPr>
        <w:t xml:space="preserve">. Since the trial stage follows substage 2 of the pre-trial stage, it is implied that detention on remand is possible during the trial stage. </w:t>
      </w:r>
      <w:r w:rsidRPr="00711384">
        <w:rPr>
          <w:lang w:val="en-GB"/>
        </w:rPr>
        <w:t>Of course, there may well be situations in which during the trial stage k</w:t>
      </w:r>
      <w:r>
        <w:rPr>
          <w:lang w:val="en-GB"/>
        </w:rPr>
        <w:t xml:space="preserve">eeping the person concerned in </w:t>
      </w:r>
      <w:r w:rsidRPr="00711384">
        <w:rPr>
          <w:lang w:val="en-GB"/>
        </w:rPr>
        <w:t xml:space="preserve">detention is no longer possible, e.g. in case of undue delay. However, the perspective of this project is of a ‘regular’ criminal prosecution in which the precepts of Art. 5 and 6 ECHR are adhered to. </w:t>
      </w:r>
      <w:r w:rsidRPr="00353C2A">
        <w:rPr>
          <w:lang w:val="en-GB"/>
        </w:rPr>
        <w:t xml:space="preserve">   </w:t>
      </w:r>
    </w:p>
  </w:footnote>
  <w:footnote w:id="249">
    <w:p w14:paraId="322E2CC0" w14:textId="5E8BB2A5" w:rsidR="00D81F47" w:rsidRPr="00777A20" w:rsidRDefault="00D81F47" w:rsidP="003A1EB0">
      <w:pPr>
        <w:pStyle w:val="Funotentext"/>
        <w:jc w:val="both"/>
        <w:rPr>
          <w:lang w:val="en-GB"/>
        </w:rPr>
      </w:pPr>
      <w:r>
        <w:rPr>
          <w:rStyle w:val="Funotenzeichen"/>
        </w:rPr>
        <w:footnoteRef/>
      </w:r>
      <w:r w:rsidRPr="00777A20">
        <w:rPr>
          <w:lang w:val="en-GB"/>
        </w:rPr>
        <w:t xml:space="preserve"> </w:t>
      </w:r>
      <w:r w:rsidRPr="00711384">
        <w:rPr>
          <w:lang w:val="en-GB"/>
        </w:rPr>
        <w:t>‘(aa)’ does not apply here. The person concerned is present in the issuing MS. Therefore, there is no need to request judicial cooperation to execute investigative/prosecution measures.</w:t>
      </w:r>
    </w:p>
  </w:footnote>
  <w:footnote w:id="250">
    <w:p w14:paraId="3CBCCB03" w14:textId="4481CAC6" w:rsidR="00D81F47" w:rsidRPr="00777A20" w:rsidRDefault="00D81F47" w:rsidP="003A1EB0">
      <w:pPr>
        <w:pStyle w:val="Funotentext"/>
        <w:jc w:val="both"/>
        <w:rPr>
          <w:lang w:val="en-GB"/>
        </w:rPr>
      </w:pPr>
      <w:r>
        <w:rPr>
          <w:rStyle w:val="Funotenzeichen"/>
        </w:rPr>
        <w:footnoteRef/>
      </w:r>
      <w:r w:rsidRPr="00777A20">
        <w:rPr>
          <w:lang w:val="en-GB"/>
        </w:rPr>
        <w:t xml:space="preserve"> </w:t>
      </w:r>
      <w:r w:rsidRPr="00DE69B4">
        <w:rPr>
          <w:lang w:val="en-GB"/>
        </w:rPr>
        <w:t>Please note that Denmark and Ireland are not bound by Directive 2014/41/EU. Please take on board whether this causes problems from the perspective of the “coherent and effective” application of the instruments.</w:t>
      </w:r>
    </w:p>
  </w:footnote>
  <w:footnote w:id="251">
    <w:p w14:paraId="065F0639" w14:textId="57F94155" w:rsidR="00D81F47" w:rsidRPr="00777A20" w:rsidRDefault="00D81F47" w:rsidP="003A1EB0">
      <w:pPr>
        <w:pStyle w:val="Funotentext"/>
        <w:jc w:val="both"/>
        <w:rPr>
          <w:lang w:val="en-GB"/>
        </w:rPr>
      </w:pPr>
      <w:r>
        <w:rPr>
          <w:rStyle w:val="Funotenzeichen"/>
        </w:rPr>
        <w:footnoteRef/>
      </w:r>
      <w:r w:rsidRPr="00777A20">
        <w:rPr>
          <w:lang w:val="en-GB"/>
        </w:rPr>
        <w:t xml:space="preserve"> </w:t>
      </w:r>
      <w:r w:rsidRPr="005F4ACA">
        <w:rPr>
          <w:lang w:val="en-GB"/>
        </w:rPr>
        <w:t xml:space="preserve">It should be remembered that a temporary transfer </w:t>
      </w:r>
      <w:r>
        <w:rPr>
          <w:lang w:val="en-GB"/>
        </w:rPr>
        <w:t xml:space="preserve">to the issuing MS </w:t>
      </w:r>
      <w:r w:rsidRPr="005F4ACA">
        <w:rPr>
          <w:lang w:val="en-GB"/>
        </w:rPr>
        <w:t xml:space="preserve">is only possible if the person concerned is in custody in the </w:t>
      </w:r>
      <w:r w:rsidRPr="005F4ACA">
        <w:rPr>
          <w:i/>
          <w:iCs/>
          <w:lang w:val="en-GB"/>
        </w:rPr>
        <w:t>executing</w:t>
      </w:r>
      <w:r w:rsidRPr="005F4ACA">
        <w:rPr>
          <w:lang w:val="en-GB"/>
        </w:rPr>
        <w:t xml:space="preserve"> MS (see p. 8).</w:t>
      </w:r>
    </w:p>
  </w:footnote>
  <w:footnote w:id="252">
    <w:p w14:paraId="2C8347C4" w14:textId="0A762817" w:rsidR="00D81F47" w:rsidRPr="00777A20" w:rsidRDefault="00D81F47" w:rsidP="003A1EB0">
      <w:pPr>
        <w:pStyle w:val="Funotentext"/>
        <w:jc w:val="both"/>
        <w:rPr>
          <w:lang w:val="en-GB"/>
        </w:rPr>
      </w:pPr>
      <w:r>
        <w:rPr>
          <w:rStyle w:val="Funotenzeichen"/>
        </w:rPr>
        <w:footnoteRef/>
      </w:r>
      <w:r w:rsidRPr="00777A20">
        <w:rPr>
          <w:lang w:val="en-GB"/>
        </w:rPr>
        <w:t xml:space="preserve"> Cf. C</w:t>
      </w:r>
      <w:r>
        <w:rPr>
          <w:lang w:val="en-GB"/>
        </w:rPr>
        <w:t>ase C-285/23.</w:t>
      </w:r>
    </w:p>
  </w:footnote>
  <w:footnote w:id="253">
    <w:p w14:paraId="7BF903A4" w14:textId="77777777" w:rsidR="00D81F47" w:rsidRPr="00F3063A" w:rsidRDefault="00D81F47" w:rsidP="003A1EB0">
      <w:pPr>
        <w:pStyle w:val="Funotentext"/>
        <w:jc w:val="both"/>
        <w:rPr>
          <w:lang w:val="en-GB"/>
        </w:rPr>
      </w:pPr>
      <w:r>
        <w:rPr>
          <w:rStyle w:val="Funotenzeichen"/>
        </w:rPr>
        <w:footnoteRef/>
      </w:r>
      <w:r w:rsidRPr="00F3063A">
        <w:rPr>
          <w:lang w:val="en-GB"/>
        </w:rPr>
        <w:t xml:space="preserve"> </w:t>
      </w:r>
      <w:r>
        <w:rPr>
          <w:lang w:val="en-GB"/>
        </w:rPr>
        <w:t>Cf. Case C-255/23.</w:t>
      </w:r>
    </w:p>
  </w:footnote>
  <w:footnote w:id="254">
    <w:p w14:paraId="01FC7224" w14:textId="6EA27DDD" w:rsidR="00D81F47" w:rsidRPr="00AA2A57" w:rsidRDefault="00D81F47">
      <w:pPr>
        <w:pStyle w:val="Funotentext"/>
      </w:pPr>
      <w:r>
        <w:rPr>
          <w:rStyle w:val="Funotenzeichen"/>
        </w:rPr>
        <w:footnoteRef/>
      </w:r>
      <w:r>
        <w:t xml:space="preserve"> </w:t>
      </w:r>
      <w:r w:rsidRPr="00EE04F1">
        <w:rPr>
          <w:lang w:val="de-DE"/>
        </w:rPr>
        <w:t xml:space="preserve">Hackner, </w:t>
      </w:r>
      <w:r w:rsidRPr="00CB796C">
        <w:rPr>
          <w:lang w:val="de-DE"/>
        </w:rPr>
        <w:t xml:space="preserve">“Vor § 68 IRG” in </w:t>
      </w:r>
      <w:r w:rsidRPr="00EE04F1">
        <w:rPr>
          <w:lang w:val="de-DE"/>
        </w:rPr>
        <w:t xml:space="preserve">Schomburg/Lagodny (Eds.), </w:t>
      </w:r>
      <w:r w:rsidRPr="00EE04F1">
        <w:rPr>
          <w:i/>
          <w:lang w:val="de-DE"/>
        </w:rPr>
        <w:t>Internationale Rechtshilfe in Strafsachen</w:t>
      </w:r>
      <w:r w:rsidRPr="00EE04F1">
        <w:rPr>
          <w:lang w:val="de-DE"/>
        </w:rPr>
        <w:t xml:space="preserve">, 6th ed. </w:t>
      </w:r>
      <w:r w:rsidRPr="003D3705">
        <w:rPr>
          <w:lang w:val="de-DE"/>
        </w:rPr>
        <w:t>(C.H. Beck, 2020), para 81</w:t>
      </w:r>
      <w:r>
        <w:rPr>
          <w:lang w:val="de-DE"/>
        </w:rPr>
        <w:t xml:space="preserve">; </w:t>
      </w:r>
      <w:r w:rsidRPr="001F7065">
        <w:rPr>
          <w:lang w:val="de-DE"/>
        </w:rPr>
        <w:t>Arnoldi</w:t>
      </w:r>
      <w:r>
        <w:rPr>
          <w:lang w:val="de-DE"/>
        </w:rPr>
        <w:t>,</w:t>
      </w:r>
      <w:r w:rsidRPr="001F7065">
        <w:rPr>
          <w:lang w:val="de-DE"/>
        </w:rPr>
        <w:t xml:space="preserve"> </w:t>
      </w:r>
      <w:r>
        <w:rPr>
          <w:lang w:val="de-DE"/>
        </w:rPr>
        <w:t>“</w:t>
      </w:r>
      <w:r w:rsidRPr="001F7065">
        <w:rPr>
          <w:lang w:val="de-DE"/>
        </w:rPr>
        <w:t xml:space="preserve">§ </w:t>
      </w:r>
      <w:r>
        <w:rPr>
          <w:lang w:val="de-DE"/>
        </w:rPr>
        <w:t>230“</w:t>
      </w:r>
      <w:r w:rsidRPr="001F7065">
        <w:rPr>
          <w:lang w:val="de-DE"/>
        </w:rPr>
        <w:t xml:space="preserve"> in </w:t>
      </w:r>
      <w:r w:rsidRPr="001F7065">
        <w:rPr>
          <w:i/>
          <w:lang w:val="de-DE"/>
        </w:rPr>
        <w:t>Münchener Kommentar zu</w:t>
      </w:r>
      <w:r>
        <w:rPr>
          <w:i/>
          <w:lang w:val="de-DE"/>
        </w:rPr>
        <w:t>r</w:t>
      </w:r>
      <w:r w:rsidRPr="001F7065">
        <w:rPr>
          <w:i/>
          <w:lang w:val="de-DE"/>
        </w:rPr>
        <w:t xml:space="preserve"> Strafprozessordnung</w:t>
      </w:r>
      <w:r w:rsidRPr="001F7065">
        <w:rPr>
          <w:lang w:val="de-DE"/>
        </w:rPr>
        <w:t>, 2nd ed</w:t>
      </w:r>
      <w:r>
        <w:rPr>
          <w:lang w:val="de-DE"/>
        </w:rPr>
        <w:t>.</w:t>
      </w:r>
      <w:r w:rsidRPr="001F7065">
        <w:rPr>
          <w:lang w:val="de-DE"/>
        </w:rPr>
        <w:t xml:space="preserve"> </w:t>
      </w:r>
      <w:r w:rsidRPr="00386999">
        <w:rPr>
          <w:lang w:val="de-DE"/>
        </w:rPr>
        <w:t>(C.H. Beck, 2024), para 1</w:t>
      </w:r>
      <w:r>
        <w:rPr>
          <w:lang w:val="de-DE"/>
        </w:rPr>
        <w:t xml:space="preserve">0; </w:t>
      </w:r>
      <w:r w:rsidRPr="007D13FC">
        <w:rPr>
          <w:lang w:val="de-DE"/>
        </w:rPr>
        <w:t>Rinio</w:t>
      </w:r>
      <w:r>
        <w:rPr>
          <w:lang w:val="de-DE"/>
        </w:rPr>
        <w:t>,</w:t>
      </w:r>
      <w:r w:rsidRPr="007D13FC">
        <w:rPr>
          <w:lang w:val="de-DE"/>
        </w:rPr>
        <w:t xml:space="preserve"> </w:t>
      </w:r>
      <w:r w:rsidRPr="00EE04F1">
        <w:rPr>
          <w:lang w:val="de-DE"/>
        </w:rPr>
        <w:t>“</w:t>
      </w:r>
      <w:r w:rsidRPr="007D13FC">
        <w:rPr>
          <w:lang w:val="de-DE"/>
        </w:rPr>
        <w:t>Hauptverhandlung per Videokonferenz im Wege der internationalen Rechtshilfe in Strafsachen</w:t>
      </w:r>
      <w:r>
        <w:rPr>
          <w:lang w:val="de-DE"/>
        </w:rPr>
        <w:t>“,</w:t>
      </w:r>
      <w:r w:rsidRPr="007D13FC">
        <w:rPr>
          <w:lang w:val="de-DE"/>
        </w:rPr>
        <w:t xml:space="preserve"> </w:t>
      </w:r>
      <w:r>
        <w:rPr>
          <w:lang w:val="de-DE"/>
        </w:rPr>
        <w:t>(</w:t>
      </w:r>
      <w:r w:rsidRPr="007D13FC">
        <w:rPr>
          <w:lang w:val="de-DE"/>
        </w:rPr>
        <w:t>2004</w:t>
      </w:r>
      <w:r>
        <w:rPr>
          <w:lang w:val="de-DE"/>
        </w:rPr>
        <w:t>)</w:t>
      </w:r>
      <w:r w:rsidRPr="007D13FC">
        <w:rPr>
          <w:lang w:val="de-DE"/>
        </w:rPr>
        <w:t xml:space="preserve"> </w:t>
      </w:r>
      <w:r w:rsidRPr="007D13FC">
        <w:rPr>
          <w:i/>
          <w:lang w:val="de-DE"/>
        </w:rPr>
        <w:t>Neue Zeitschrift für Strafrecht</w:t>
      </w:r>
      <w:r>
        <w:rPr>
          <w:i/>
          <w:lang w:val="de-DE"/>
        </w:rPr>
        <w:t>,</w:t>
      </w:r>
      <w:r w:rsidRPr="007D13FC">
        <w:rPr>
          <w:i/>
          <w:lang w:val="de-DE"/>
        </w:rPr>
        <w:t xml:space="preserve"> </w:t>
      </w:r>
      <w:r w:rsidRPr="007D13FC">
        <w:rPr>
          <w:lang w:val="de-DE"/>
        </w:rPr>
        <w:t>188</w:t>
      </w:r>
      <w:r>
        <w:rPr>
          <w:lang w:val="de-DE"/>
        </w:rPr>
        <w:t xml:space="preserve"> (at 190); Beukelmann, “Das (virtuelle) Anwesenheitsrecht des Angeklagten“, (2024) </w:t>
      </w:r>
      <w:r w:rsidRPr="00BE1205">
        <w:rPr>
          <w:i/>
          <w:lang w:val="de-DE"/>
        </w:rPr>
        <w:t>Neue Juristische Wochenschrift-Spezial</w:t>
      </w:r>
      <w:r>
        <w:rPr>
          <w:lang w:val="de-DE"/>
        </w:rPr>
        <w:t xml:space="preserve">, 504. </w:t>
      </w:r>
    </w:p>
  </w:footnote>
  <w:footnote w:id="255">
    <w:p w14:paraId="6E98B58B" w14:textId="656DD825" w:rsidR="00D81F47" w:rsidRPr="00BC5ED2" w:rsidRDefault="00D81F47" w:rsidP="00BC5ED2">
      <w:pPr>
        <w:pStyle w:val="Funotentext"/>
        <w:rPr>
          <w:lang w:val="en-GB"/>
        </w:rPr>
      </w:pPr>
      <w:r>
        <w:rPr>
          <w:rStyle w:val="Funotenzeichen"/>
        </w:rPr>
        <w:footnoteRef/>
      </w:r>
      <w:r w:rsidRPr="00EE04F1">
        <w:rPr>
          <w:lang w:val="de-DE"/>
        </w:rPr>
        <w:t xml:space="preserve"> Hackner and Schierholt, </w:t>
      </w:r>
      <w:r w:rsidRPr="00EE04F1">
        <w:rPr>
          <w:i/>
          <w:lang w:val="de-DE"/>
        </w:rPr>
        <w:t>Internationale Rechtshilfe in Strafsachen</w:t>
      </w:r>
      <w:r w:rsidRPr="00EE04F1">
        <w:rPr>
          <w:lang w:val="de-DE"/>
        </w:rPr>
        <w:t xml:space="preserve">, 4th ed. (C.H. Beck, 2023), para 906; Hackner, </w:t>
      </w:r>
      <w:r w:rsidRPr="00CB796C">
        <w:rPr>
          <w:lang w:val="de-DE"/>
        </w:rPr>
        <w:t xml:space="preserve">“Vor § 68 IRG” in </w:t>
      </w:r>
      <w:r w:rsidRPr="00EE04F1">
        <w:rPr>
          <w:lang w:val="de-DE"/>
        </w:rPr>
        <w:t xml:space="preserve">Schomburg/Lagodny (Eds.), </w:t>
      </w:r>
      <w:r w:rsidRPr="00EE04F1">
        <w:rPr>
          <w:i/>
          <w:lang w:val="de-DE"/>
        </w:rPr>
        <w:t>Internationale Rechtshilfe in Strafsachen</w:t>
      </w:r>
      <w:r w:rsidRPr="00EE04F1">
        <w:rPr>
          <w:lang w:val="de-DE"/>
        </w:rPr>
        <w:t xml:space="preserve">, 6th ed. </w:t>
      </w:r>
      <w:r w:rsidRPr="0033147B">
        <w:rPr>
          <w:lang w:val="en-GB"/>
        </w:rPr>
        <w:t>(C.H. Beck, 2020), para 81.</w:t>
      </w:r>
    </w:p>
  </w:footnote>
  <w:footnote w:id="256">
    <w:p w14:paraId="7379892F" w14:textId="4C573E30" w:rsidR="00D81F47" w:rsidRPr="0033147B" w:rsidRDefault="00D81F47" w:rsidP="00BC5ED2">
      <w:pPr>
        <w:pStyle w:val="Funotentext"/>
        <w:rPr>
          <w:lang w:val="en-GB"/>
        </w:rPr>
      </w:pPr>
      <w:r>
        <w:rPr>
          <w:rStyle w:val="Funotenzeichen"/>
        </w:rPr>
        <w:footnoteRef/>
      </w:r>
      <w:r w:rsidRPr="0033147B">
        <w:rPr>
          <w:lang w:val="en-GB"/>
        </w:rPr>
        <w:t xml:space="preserve"> See the explanatory memorandum to the draft on the act on supporting the use of videoconference-tools in judicial proceedings, Bundestags-Drucksache No. 17/1224, p. 11; similarly </w:t>
      </w:r>
      <w:r w:rsidRPr="00A87040">
        <w:rPr>
          <w:rFonts w:asciiTheme="majorBidi" w:hAnsiTheme="majorBidi" w:cstheme="majorBidi"/>
          <w:color w:val="000000" w:themeColor="text1"/>
          <w:lang w:val="en-US"/>
        </w:rPr>
        <w:t>Federal Ministry of Justice (interview)</w:t>
      </w:r>
      <w:r w:rsidRPr="0033147B">
        <w:rPr>
          <w:lang w:val="en-GB"/>
        </w:rPr>
        <w:t>; District Court (interview).</w:t>
      </w:r>
    </w:p>
  </w:footnote>
  <w:footnote w:id="257">
    <w:p w14:paraId="1890D261" w14:textId="1F18A94E" w:rsidR="00D81F47" w:rsidRPr="00AF4658" w:rsidRDefault="00D81F47" w:rsidP="00BC5ED2">
      <w:pPr>
        <w:pStyle w:val="Funotentext"/>
        <w:rPr>
          <w:lang w:val="en-US"/>
        </w:rPr>
      </w:pPr>
      <w:r>
        <w:rPr>
          <w:rStyle w:val="Funotenzeichen"/>
        </w:rPr>
        <w:footnoteRef/>
      </w:r>
      <w:r w:rsidRPr="0033147B">
        <w:rPr>
          <w:lang w:val="en-GB"/>
        </w:rPr>
        <w:t xml:space="preserve"> See the explanatory memorandum to the draft on the act on supporting the use of videoconference-tools in judicial proceedings, Bundestags-Drucksache No. 17/1224, p. 9, 11.</w:t>
      </w:r>
    </w:p>
  </w:footnote>
  <w:footnote w:id="258">
    <w:p w14:paraId="06E381EC" w14:textId="77777777" w:rsidR="00D81F47" w:rsidRPr="00AF4658" w:rsidRDefault="00D81F47" w:rsidP="00BC5ED2">
      <w:pPr>
        <w:pStyle w:val="Funotentext"/>
        <w:rPr>
          <w:lang w:val="en-US"/>
        </w:rPr>
      </w:pPr>
      <w:r>
        <w:rPr>
          <w:rStyle w:val="Funotenzeichen"/>
        </w:rPr>
        <w:footnoteRef/>
      </w:r>
      <w:r w:rsidRPr="0033147B">
        <w:rPr>
          <w:lang w:val="en-GB"/>
        </w:rPr>
        <w:t xml:space="preserve"> </w:t>
      </w:r>
      <w:r w:rsidRPr="00AF4658">
        <w:rPr>
          <w:lang w:val="en-US"/>
        </w:rPr>
        <w:t>See the report of the P</w:t>
      </w:r>
      <w:r>
        <w:rPr>
          <w:lang w:val="en-US"/>
        </w:rPr>
        <w:t>arliament’s Committee on Legal Affairs, Bundestags-Drucksache 17/12418, p. 16.</w:t>
      </w:r>
    </w:p>
  </w:footnote>
  <w:footnote w:id="259">
    <w:p w14:paraId="60FBF46D" w14:textId="2787E353" w:rsidR="00D81F47" w:rsidRPr="00A86574" w:rsidRDefault="00D81F47" w:rsidP="00BC5ED2">
      <w:pPr>
        <w:pStyle w:val="Funotentext"/>
        <w:rPr>
          <w:lang w:val="en-US"/>
        </w:rPr>
      </w:pPr>
      <w:r>
        <w:rPr>
          <w:rStyle w:val="Funotenzeichen"/>
        </w:rPr>
        <w:footnoteRef/>
      </w:r>
      <w:r w:rsidRPr="00EE04F1">
        <w:rPr>
          <w:lang w:val="de-DE"/>
        </w:rPr>
        <w:t xml:space="preserve"> </w:t>
      </w:r>
      <w:r w:rsidRPr="001F7065">
        <w:rPr>
          <w:lang w:val="de-DE"/>
        </w:rPr>
        <w:t>Arnoldi</w:t>
      </w:r>
      <w:r>
        <w:rPr>
          <w:lang w:val="de-DE"/>
        </w:rPr>
        <w:t>,</w:t>
      </w:r>
      <w:r w:rsidRPr="001F7065">
        <w:rPr>
          <w:lang w:val="de-DE"/>
        </w:rPr>
        <w:t xml:space="preserve"> </w:t>
      </w:r>
      <w:r>
        <w:rPr>
          <w:lang w:val="de-DE"/>
        </w:rPr>
        <w:t>“</w:t>
      </w:r>
      <w:r w:rsidRPr="001F7065">
        <w:rPr>
          <w:lang w:val="de-DE"/>
        </w:rPr>
        <w:t>§ 233</w:t>
      </w:r>
      <w:r>
        <w:rPr>
          <w:lang w:val="de-DE"/>
        </w:rPr>
        <w:t>“</w:t>
      </w:r>
      <w:r w:rsidRPr="001F7065">
        <w:rPr>
          <w:lang w:val="de-DE"/>
        </w:rPr>
        <w:t xml:space="preserve"> in </w:t>
      </w:r>
      <w:r w:rsidRPr="001F7065">
        <w:rPr>
          <w:i/>
          <w:lang w:val="de-DE"/>
        </w:rPr>
        <w:t>Münchener Kommentar zu</w:t>
      </w:r>
      <w:r>
        <w:rPr>
          <w:i/>
          <w:lang w:val="de-DE"/>
        </w:rPr>
        <w:t>r</w:t>
      </w:r>
      <w:r w:rsidRPr="001F7065">
        <w:rPr>
          <w:i/>
          <w:lang w:val="de-DE"/>
        </w:rPr>
        <w:t xml:space="preserve"> Strafprozessordnung</w:t>
      </w:r>
      <w:r w:rsidRPr="001F7065">
        <w:rPr>
          <w:lang w:val="de-DE"/>
        </w:rPr>
        <w:t>, 2nd ed</w:t>
      </w:r>
      <w:r>
        <w:rPr>
          <w:lang w:val="de-DE"/>
        </w:rPr>
        <w:t>.</w:t>
      </w:r>
      <w:r w:rsidRPr="001F7065">
        <w:rPr>
          <w:lang w:val="de-DE"/>
        </w:rPr>
        <w:t xml:space="preserve"> </w:t>
      </w:r>
      <w:r w:rsidRPr="00A86574">
        <w:rPr>
          <w:lang w:val="en-US"/>
        </w:rPr>
        <w:t xml:space="preserve">(C.H. Beck, 2024), para 15; Becker, “§ 233“ in Löwe-Rosenberg (Ed.), </w:t>
      </w:r>
      <w:r w:rsidRPr="00A86574">
        <w:rPr>
          <w:i/>
          <w:lang w:val="en-US"/>
        </w:rPr>
        <w:t>Strafprozessordnung, Band 6 - §§ 212-255a</w:t>
      </w:r>
      <w:r w:rsidRPr="00A86574">
        <w:rPr>
          <w:lang w:val="en-US"/>
        </w:rPr>
        <w:t>, 27th ed. (de Gruyter, 2020), para 29.</w:t>
      </w:r>
    </w:p>
  </w:footnote>
  <w:footnote w:id="260">
    <w:p w14:paraId="6DF8CF90" w14:textId="49F995FF" w:rsidR="00D81F47" w:rsidRPr="00A86574" w:rsidRDefault="00D81F47">
      <w:pPr>
        <w:pStyle w:val="Funotentext"/>
        <w:rPr>
          <w:lang w:val="en-US"/>
        </w:rPr>
      </w:pPr>
      <w:r>
        <w:rPr>
          <w:rStyle w:val="Funotenzeichen"/>
        </w:rPr>
        <w:footnoteRef/>
      </w:r>
      <w:r w:rsidRPr="00A86574">
        <w:rPr>
          <w:lang w:val="en-US"/>
        </w:rPr>
        <w:t xml:space="preserve"> District Court (interview).</w:t>
      </w:r>
    </w:p>
  </w:footnote>
  <w:footnote w:id="261">
    <w:p w14:paraId="0D3DE994" w14:textId="22D946C3" w:rsidR="00D81F47" w:rsidRPr="00CB796C" w:rsidRDefault="00D81F47" w:rsidP="00AA2DC4">
      <w:pPr>
        <w:pStyle w:val="Funotentext"/>
        <w:rPr>
          <w:rFonts w:asciiTheme="majorBidi" w:hAnsiTheme="majorBidi" w:cstheme="majorBidi"/>
          <w:color w:val="000000" w:themeColor="text1"/>
          <w:lang w:val="en-US"/>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Federal Ministry of Justice (interview)</w:t>
      </w:r>
      <w:r w:rsidRPr="0033147B">
        <w:rPr>
          <w:lang w:val="en-GB"/>
        </w:rPr>
        <w:t xml:space="preserve">; </w:t>
      </w:r>
      <w:r>
        <w:rPr>
          <w:lang w:val="en-GB"/>
        </w:rPr>
        <w:t>State’s</w:t>
      </w:r>
      <w:r w:rsidDel="00B609E9">
        <w:rPr>
          <w:lang w:val="en-GB"/>
        </w:rPr>
        <w:t xml:space="preserve"> </w:t>
      </w:r>
      <w:r w:rsidRPr="00A87040">
        <w:rPr>
          <w:rFonts w:asciiTheme="majorBidi" w:hAnsiTheme="majorBidi" w:cstheme="majorBidi"/>
          <w:color w:val="000000" w:themeColor="text1"/>
          <w:lang w:val="en-US"/>
        </w:rPr>
        <w:t>Ministry of Justice (interview)</w:t>
      </w:r>
      <w:r w:rsidRPr="00AD2A9D">
        <w:rPr>
          <w:lang w:val="en-US"/>
        </w:rPr>
        <w:t>; see also District Court</w:t>
      </w:r>
      <w:r>
        <w:rPr>
          <w:lang w:val="en-US"/>
        </w:rPr>
        <w:t xml:space="preserve"> (interview)</w:t>
      </w:r>
      <w:r w:rsidRPr="00AD2A9D">
        <w:rPr>
          <w:lang w:val="en-US"/>
        </w:rPr>
        <w:t>.</w:t>
      </w:r>
    </w:p>
  </w:footnote>
  <w:footnote w:id="262">
    <w:p w14:paraId="3CDCF48E" w14:textId="67A649BE" w:rsidR="00D81F47" w:rsidRPr="004D7835" w:rsidRDefault="00D81F47" w:rsidP="00BC5ED2">
      <w:pPr>
        <w:pStyle w:val="Funotentext"/>
        <w:rPr>
          <w:lang w:val="en-US"/>
        </w:rPr>
      </w:pPr>
      <w:r>
        <w:rPr>
          <w:rStyle w:val="Funotenzeichen"/>
        </w:rPr>
        <w:footnoteRef/>
      </w:r>
      <w:r w:rsidRPr="00EE04F1">
        <w:rPr>
          <w:lang w:val="de-DE"/>
        </w:rPr>
        <w:t xml:space="preserve"> Hackner and Schierholt, </w:t>
      </w:r>
      <w:r w:rsidRPr="00EE04F1">
        <w:rPr>
          <w:i/>
          <w:lang w:val="de-DE"/>
        </w:rPr>
        <w:t>Internationale Rechtshilfe in Strafsachen</w:t>
      </w:r>
      <w:r w:rsidRPr="00EE04F1">
        <w:rPr>
          <w:lang w:val="de-DE"/>
        </w:rPr>
        <w:t xml:space="preserve">, 4th ed. </w:t>
      </w:r>
      <w:r w:rsidRPr="004D7835">
        <w:rPr>
          <w:lang w:val="en-US"/>
        </w:rPr>
        <w:t>(C.H. Beck, 2023), para 906.</w:t>
      </w:r>
    </w:p>
  </w:footnote>
  <w:footnote w:id="263">
    <w:p w14:paraId="3C3E9018" w14:textId="0BC605DC" w:rsidR="00712A8B" w:rsidRPr="00712A8B" w:rsidRDefault="00712A8B">
      <w:pPr>
        <w:pStyle w:val="Funotentext"/>
      </w:pPr>
      <w:r>
        <w:rPr>
          <w:rStyle w:val="Funotenzeichen"/>
        </w:rPr>
        <w:footnoteRef/>
      </w:r>
      <w:r>
        <w:t xml:space="preserve"> Denmark, however, has declared that it will not grant such requests, </w:t>
      </w:r>
      <w:hyperlink r:id="rId6" w:history="1">
        <w:r w:rsidRPr="00396F8A">
          <w:rPr>
            <w:rStyle w:val="Hyperlink"/>
            <w:lang w:val="en-US"/>
          </w:rPr>
          <w:t>https://www.ejn-crimjust.europa.eu/ejn2021/FichesBelgesDetail/EN/A.12/260/277</w:t>
        </w:r>
      </w:hyperlink>
      <w:r>
        <w:rPr>
          <w:lang w:val="en-US"/>
        </w:rPr>
        <w:t xml:space="preserve"> (last accessed on 13 March 2025).</w:t>
      </w:r>
    </w:p>
  </w:footnote>
  <w:footnote w:id="264">
    <w:p w14:paraId="0A2207D1" w14:textId="45FC7CB6" w:rsidR="00D81F47" w:rsidRPr="0033147B" w:rsidRDefault="00D81F47" w:rsidP="00BC5ED2">
      <w:pPr>
        <w:pStyle w:val="Funotentext"/>
        <w:rPr>
          <w:lang w:val="en-GB"/>
        </w:rPr>
      </w:pPr>
      <w:r>
        <w:rPr>
          <w:rStyle w:val="Funotenzeichen"/>
        </w:rPr>
        <w:footnoteRef/>
      </w:r>
      <w:r w:rsidRPr="003D3705">
        <w:t xml:space="preserve"> See the explanatory memorandum to the law implementing DR 2014/41/EU, Bundestags-Drucksache 18/9757, p. 65; Böse, “§ 91j” in Grützner/Pötz/Kreß/Gazeas/Brodowski (Eds.), </w:t>
      </w:r>
      <w:r w:rsidRPr="003D3705">
        <w:rPr>
          <w:i/>
        </w:rPr>
        <w:t>Internationaler Rechtshilfeverkehr in Strafsachen</w:t>
      </w:r>
      <w:r w:rsidRPr="003D3705">
        <w:t xml:space="preserve">, 3rd ed. </w:t>
      </w:r>
      <w:r w:rsidRPr="00EE04F1">
        <w:rPr>
          <w:lang w:val="de-DE"/>
        </w:rPr>
        <w:t>(5</w:t>
      </w:r>
      <w:r>
        <w:rPr>
          <w:lang w:val="de-DE"/>
        </w:rPr>
        <w:t>7th</w:t>
      </w:r>
      <w:r w:rsidRPr="00EE04F1">
        <w:rPr>
          <w:lang w:val="de-DE"/>
        </w:rPr>
        <w:t xml:space="preserve"> instal</w:t>
      </w:r>
      <w:r>
        <w:rPr>
          <w:lang w:val="de-DE"/>
        </w:rPr>
        <w:t>l</w:t>
      </w:r>
      <w:r w:rsidRPr="00EE04F1">
        <w:rPr>
          <w:lang w:val="de-DE"/>
        </w:rPr>
        <w:t xml:space="preserve">ment, C.F. Müller, </w:t>
      </w:r>
      <w:r>
        <w:rPr>
          <w:lang w:val="de-DE"/>
        </w:rPr>
        <w:t>Jun. 2024</w:t>
      </w:r>
      <w:r w:rsidRPr="00EE04F1">
        <w:rPr>
          <w:lang w:val="de-DE"/>
        </w:rPr>
        <w:t xml:space="preserve">), para. 11; Trautmann,        “§ 91j” in Schomburg/Lagodny (Eds.), </w:t>
      </w:r>
      <w:r w:rsidRPr="00EE04F1">
        <w:rPr>
          <w:i/>
          <w:lang w:val="de-DE"/>
        </w:rPr>
        <w:t>Internationale Rechtshilfe in Strafsachen</w:t>
      </w:r>
      <w:r w:rsidRPr="00EE04F1">
        <w:rPr>
          <w:lang w:val="de-DE"/>
        </w:rPr>
        <w:t xml:space="preserve">, 6th ed. (C.H. Beck, 2020), para 11; Wörner, “§ 91c” in Ambos/König/Rackow (Eds.), </w:t>
      </w:r>
      <w:r w:rsidRPr="00EE04F1">
        <w:rPr>
          <w:i/>
          <w:lang w:val="de-DE"/>
        </w:rPr>
        <w:t>Rechtshilferecht in Strafsachen</w:t>
      </w:r>
      <w:r w:rsidRPr="00EE04F1">
        <w:rPr>
          <w:lang w:val="de-DE"/>
        </w:rPr>
        <w:t xml:space="preserve">, 2nd ed. </w:t>
      </w:r>
      <w:r w:rsidRPr="0033147B">
        <w:rPr>
          <w:lang w:val="en-GB"/>
        </w:rPr>
        <w:t>(Nomos, 2020), chapter 4 para 571.</w:t>
      </w:r>
    </w:p>
  </w:footnote>
  <w:footnote w:id="265">
    <w:p w14:paraId="726E575A" w14:textId="2F739BB0" w:rsidR="00D81F47" w:rsidRPr="0033147B" w:rsidRDefault="00D81F47" w:rsidP="00BA6EEF">
      <w:pPr>
        <w:pStyle w:val="Funotentext"/>
        <w:rPr>
          <w:lang w:val="en-GB"/>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Federal Ministry of Justice (interview).</w:t>
      </w:r>
    </w:p>
  </w:footnote>
  <w:footnote w:id="266">
    <w:p w14:paraId="130D7D55" w14:textId="01287A8B" w:rsidR="00D81F47" w:rsidRPr="00CB796C" w:rsidRDefault="00D81F47">
      <w:pPr>
        <w:pStyle w:val="Funotentext"/>
        <w:rPr>
          <w:lang w:val="en-US"/>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Federal Ministry of Justice (interview).</w:t>
      </w:r>
    </w:p>
  </w:footnote>
  <w:footnote w:id="267">
    <w:p w14:paraId="4BBA96EE" w14:textId="1EBFB9ED" w:rsidR="00D81F47" w:rsidRPr="00CB796C" w:rsidRDefault="00D81F47">
      <w:pPr>
        <w:pStyle w:val="Funotentext"/>
        <w:rPr>
          <w:lang w:val="en-US"/>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 xml:space="preserve">Public Prosecutor’s Office </w:t>
      </w:r>
      <w:r>
        <w:rPr>
          <w:rFonts w:asciiTheme="majorBidi" w:hAnsiTheme="majorBidi" w:cstheme="majorBidi"/>
          <w:color w:val="000000" w:themeColor="text1"/>
          <w:lang w:val="en-US"/>
        </w:rPr>
        <w:t>I</w:t>
      </w:r>
      <w:r w:rsidRPr="00A87040">
        <w:rPr>
          <w:rFonts w:asciiTheme="majorBidi" w:hAnsiTheme="majorBidi" w:cstheme="majorBidi"/>
          <w:color w:val="000000" w:themeColor="text1"/>
          <w:lang w:val="en-US"/>
        </w:rPr>
        <w:t xml:space="preserve"> (interview); Public Prosecutor’s Office</w:t>
      </w:r>
      <w:r>
        <w:rPr>
          <w:rFonts w:asciiTheme="majorBidi" w:hAnsiTheme="majorBidi" w:cstheme="majorBidi"/>
          <w:color w:val="000000" w:themeColor="text1"/>
          <w:lang w:val="en-US"/>
        </w:rPr>
        <w:t xml:space="preserve"> II</w:t>
      </w:r>
      <w:r w:rsidRPr="00A87040">
        <w:rPr>
          <w:rFonts w:asciiTheme="majorBidi" w:hAnsiTheme="majorBidi" w:cstheme="majorBidi"/>
          <w:color w:val="000000" w:themeColor="text1"/>
          <w:lang w:val="en-US"/>
        </w:rPr>
        <w:t xml:space="preserve"> (interview)</w:t>
      </w:r>
      <w:r w:rsidRPr="00CB796C">
        <w:rPr>
          <w:lang w:val="en-US"/>
        </w:rPr>
        <w:t xml:space="preserve">; the same view was taken by </w:t>
      </w:r>
      <w:r>
        <w:rPr>
          <w:lang w:val="en-US"/>
        </w:rPr>
        <w:t xml:space="preserve">a </w:t>
      </w:r>
      <w:r>
        <w:rPr>
          <w:lang w:val="en-GB"/>
        </w:rPr>
        <w:t>State’s</w:t>
      </w:r>
      <w:r w:rsidDel="002F5C91">
        <w:rPr>
          <w:lang w:val="en-US"/>
        </w:rPr>
        <w:t xml:space="preserve"> </w:t>
      </w:r>
      <w:r w:rsidRPr="00A87040">
        <w:rPr>
          <w:rFonts w:asciiTheme="majorBidi" w:hAnsiTheme="majorBidi" w:cstheme="majorBidi"/>
          <w:color w:val="000000" w:themeColor="text1"/>
          <w:lang w:val="en-US"/>
        </w:rPr>
        <w:t>Ministry of Justice (interview).</w:t>
      </w:r>
      <w:r>
        <w:rPr>
          <w:rFonts w:asciiTheme="majorBidi" w:hAnsiTheme="majorBidi" w:cstheme="majorBidi"/>
          <w:color w:val="000000" w:themeColor="text1"/>
          <w:lang w:val="en-US"/>
        </w:rPr>
        <w:t xml:space="preserve"> </w:t>
      </w:r>
    </w:p>
  </w:footnote>
  <w:footnote w:id="268">
    <w:p w14:paraId="34647EC7" w14:textId="3C4C6E13" w:rsidR="00D81F47" w:rsidRPr="00AD2A9D" w:rsidRDefault="00D81F47">
      <w:pPr>
        <w:pStyle w:val="Funotentext"/>
        <w:rPr>
          <w:lang w:val="en-US"/>
        </w:rPr>
      </w:pPr>
      <w:r>
        <w:rPr>
          <w:rStyle w:val="Funotenzeichen"/>
        </w:rPr>
        <w:footnoteRef/>
      </w:r>
      <w:r w:rsidRPr="0033147B">
        <w:rPr>
          <w:lang w:val="en-GB"/>
        </w:rPr>
        <w:t xml:space="preserve"> </w:t>
      </w:r>
      <w:r w:rsidRPr="00AD2A9D">
        <w:rPr>
          <w:lang w:val="en-US"/>
        </w:rPr>
        <w:t>District Court</w:t>
      </w:r>
      <w:r>
        <w:rPr>
          <w:lang w:val="en-US"/>
        </w:rPr>
        <w:t xml:space="preserve"> (interview)</w:t>
      </w:r>
      <w:r w:rsidRPr="00AD2A9D">
        <w:rPr>
          <w:lang w:val="en-US"/>
        </w:rPr>
        <w:t>.</w:t>
      </w:r>
    </w:p>
  </w:footnote>
  <w:footnote w:id="269">
    <w:p w14:paraId="0E785302" w14:textId="2434E477" w:rsidR="00D81F47" w:rsidRPr="00CB796C" w:rsidRDefault="00D81F47" w:rsidP="00737BC7">
      <w:pPr>
        <w:pStyle w:val="Funotentext"/>
        <w:rPr>
          <w:rFonts w:asciiTheme="majorBidi" w:hAnsiTheme="majorBidi" w:cstheme="majorBidi"/>
          <w:color w:val="000000" w:themeColor="text1"/>
          <w:lang w:val="en-US"/>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Federal Ministry of Justice (interview).</w:t>
      </w:r>
    </w:p>
  </w:footnote>
  <w:footnote w:id="270">
    <w:p w14:paraId="09EE0605" w14:textId="3771B990" w:rsidR="00D81F47" w:rsidRPr="0033147B" w:rsidRDefault="00D81F47">
      <w:pPr>
        <w:pStyle w:val="Funotentext"/>
        <w:rPr>
          <w:lang w:val="en-GB"/>
        </w:rPr>
      </w:pPr>
      <w:r>
        <w:rPr>
          <w:rStyle w:val="Funotenzeichen"/>
        </w:rPr>
        <w:footnoteRef/>
      </w:r>
      <w:r w:rsidRPr="0033147B">
        <w:rPr>
          <w:lang w:val="en-GB"/>
        </w:rPr>
        <w:t xml:space="preserve"> District Court</w:t>
      </w:r>
      <w:r>
        <w:rPr>
          <w:lang w:val="en-US"/>
        </w:rPr>
        <w:t xml:space="preserve"> (interview)</w:t>
      </w:r>
      <w:r w:rsidRPr="0033147B">
        <w:rPr>
          <w:lang w:val="en-GB"/>
        </w:rPr>
        <w:t xml:space="preserve">; </w:t>
      </w:r>
      <w:r>
        <w:rPr>
          <w:lang w:val="en-US"/>
        </w:rPr>
        <w:t>Defence Lawyer</w:t>
      </w:r>
      <w:r w:rsidRPr="00CB796C">
        <w:rPr>
          <w:lang w:val="en-US"/>
        </w:rPr>
        <w:t xml:space="preserve"> </w:t>
      </w:r>
      <w:r>
        <w:rPr>
          <w:lang w:val="en-US"/>
        </w:rPr>
        <w:t>II (interview)</w:t>
      </w:r>
      <w:r w:rsidRPr="0033147B">
        <w:rPr>
          <w:lang w:val="en-GB"/>
        </w:rPr>
        <w:t>.</w:t>
      </w:r>
    </w:p>
  </w:footnote>
  <w:footnote w:id="271">
    <w:p w14:paraId="61AAE757" w14:textId="032B7E41" w:rsidR="00D81F47" w:rsidRPr="0033147B" w:rsidRDefault="00D81F47" w:rsidP="00735CBE">
      <w:pPr>
        <w:pStyle w:val="Funotentext"/>
        <w:rPr>
          <w:lang w:val="en-GB"/>
        </w:rPr>
      </w:pPr>
      <w:r>
        <w:rPr>
          <w:rStyle w:val="Funotenzeichen"/>
        </w:rPr>
        <w:footnoteRef/>
      </w:r>
      <w:r w:rsidRPr="0033147B">
        <w:rPr>
          <w:lang w:val="en-GB"/>
        </w:rPr>
        <w:t xml:space="preserve"> Higher Regional Court Berlin, Decision of 10 November 2010 – 3 Ws 459/10, (2011) </w:t>
      </w:r>
      <w:r w:rsidRPr="0033147B">
        <w:rPr>
          <w:i/>
          <w:lang w:val="en-GB"/>
        </w:rPr>
        <w:t xml:space="preserve">Neue Zeitschrift für Strafrecht, </w:t>
      </w:r>
      <w:r w:rsidRPr="0033147B">
        <w:rPr>
          <w:lang w:val="en-GB"/>
        </w:rPr>
        <w:t xml:space="preserve">653 (at 654); Higher Regional Court Karlsruhe Decision of </w:t>
      </w:r>
      <w:r w:rsidRPr="0033147B">
        <w:rPr>
          <w:rStyle w:val="datum"/>
          <w:lang w:val="en-GB"/>
        </w:rPr>
        <w:t>16 September 2014</w:t>
      </w:r>
      <w:r w:rsidRPr="0033147B">
        <w:rPr>
          <w:lang w:val="en-GB"/>
        </w:rPr>
        <w:t xml:space="preserve"> - </w:t>
      </w:r>
      <w:r w:rsidRPr="0033147B">
        <w:rPr>
          <w:rStyle w:val="az"/>
          <w:lang w:val="en-GB"/>
        </w:rPr>
        <w:t xml:space="preserve">2 Ws 334/14, (2015) </w:t>
      </w:r>
      <w:r w:rsidRPr="0033147B">
        <w:rPr>
          <w:rStyle w:val="az"/>
          <w:i/>
          <w:lang w:val="en-GB"/>
        </w:rPr>
        <w:t xml:space="preserve">Strafverteidiger, </w:t>
      </w:r>
      <w:r w:rsidRPr="0033147B">
        <w:rPr>
          <w:rStyle w:val="az"/>
          <w:lang w:val="en-GB"/>
        </w:rPr>
        <w:t xml:space="preserve">346. </w:t>
      </w:r>
    </w:p>
  </w:footnote>
  <w:footnote w:id="272">
    <w:p w14:paraId="481B114F" w14:textId="20E8919F" w:rsidR="00D81F47" w:rsidRPr="009E0137" w:rsidRDefault="00D81F47">
      <w:pPr>
        <w:pStyle w:val="Funotentext"/>
        <w:rPr>
          <w:lang w:val="en-US"/>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 xml:space="preserve">Public Prosecutor’s Office </w:t>
      </w:r>
      <w:r>
        <w:rPr>
          <w:rFonts w:asciiTheme="majorBidi" w:hAnsiTheme="majorBidi" w:cstheme="majorBidi"/>
          <w:color w:val="000000" w:themeColor="text1"/>
          <w:lang w:val="en-US"/>
        </w:rPr>
        <w:t>III</w:t>
      </w:r>
      <w:r w:rsidRPr="00A87040">
        <w:rPr>
          <w:rFonts w:asciiTheme="majorBidi" w:hAnsiTheme="majorBidi" w:cstheme="majorBidi"/>
          <w:color w:val="000000" w:themeColor="text1"/>
          <w:lang w:val="en-US"/>
        </w:rPr>
        <w:t xml:space="preserve"> (interview)</w:t>
      </w:r>
      <w:r w:rsidRPr="009E0137">
        <w:rPr>
          <w:lang w:val="en-US"/>
        </w:rPr>
        <w:t>; academic expert</w:t>
      </w:r>
      <w:r>
        <w:rPr>
          <w:lang w:val="en-US"/>
        </w:rPr>
        <w:t xml:space="preserve"> (interview)</w:t>
      </w:r>
      <w:r w:rsidRPr="009E0137">
        <w:rPr>
          <w:lang w:val="en-US"/>
        </w:rPr>
        <w:t>.</w:t>
      </w:r>
    </w:p>
  </w:footnote>
  <w:footnote w:id="273">
    <w:p w14:paraId="28548CB6" w14:textId="4A947C01" w:rsidR="00D81F47" w:rsidRPr="00CB796C" w:rsidRDefault="00D81F47" w:rsidP="003A4EC7">
      <w:pPr>
        <w:pStyle w:val="Funotentext"/>
        <w:rPr>
          <w:rFonts w:asciiTheme="majorBidi" w:hAnsiTheme="majorBidi" w:cstheme="majorBidi"/>
          <w:color w:val="000000" w:themeColor="text1"/>
          <w:lang w:val="en-US"/>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 xml:space="preserve">Public Prosecutor’s Office </w:t>
      </w:r>
      <w:r>
        <w:rPr>
          <w:rFonts w:asciiTheme="majorBidi" w:hAnsiTheme="majorBidi" w:cstheme="majorBidi"/>
          <w:color w:val="000000" w:themeColor="text1"/>
          <w:lang w:val="en-US"/>
        </w:rPr>
        <w:t>I</w:t>
      </w:r>
      <w:r w:rsidRPr="00A87040">
        <w:rPr>
          <w:rFonts w:asciiTheme="majorBidi" w:hAnsiTheme="majorBidi" w:cstheme="majorBidi"/>
          <w:color w:val="000000" w:themeColor="text1"/>
          <w:lang w:val="en-US"/>
        </w:rPr>
        <w:t xml:space="preserve"> (interview); Public Prosecutor’s Office</w:t>
      </w:r>
      <w:r>
        <w:rPr>
          <w:rFonts w:asciiTheme="majorBidi" w:hAnsiTheme="majorBidi" w:cstheme="majorBidi"/>
          <w:color w:val="000000" w:themeColor="text1"/>
          <w:lang w:val="en-US"/>
        </w:rPr>
        <w:t xml:space="preserve"> II</w:t>
      </w:r>
      <w:r w:rsidRPr="00A87040">
        <w:rPr>
          <w:rFonts w:asciiTheme="majorBidi" w:hAnsiTheme="majorBidi" w:cstheme="majorBidi"/>
          <w:color w:val="000000" w:themeColor="text1"/>
          <w:lang w:val="en-US"/>
        </w:rPr>
        <w:t xml:space="preserve"> (interview)</w:t>
      </w:r>
      <w:r w:rsidRPr="00CB796C">
        <w:rPr>
          <w:lang w:val="en-US"/>
        </w:rPr>
        <w:t xml:space="preserve">; the same view was taken by </w:t>
      </w:r>
      <w:r>
        <w:rPr>
          <w:lang w:val="en-US"/>
        </w:rPr>
        <w:t xml:space="preserve">a </w:t>
      </w:r>
      <w:r>
        <w:rPr>
          <w:lang w:val="en-GB"/>
        </w:rPr>
        <w:t>State’s</w:t>
      </w:r>
      <w:r w:rsidDel="00CC19C0">
        <w:rPr>
          <w:lang w:val="en-US"/>
        </w:rPr>
        <w:t xml:space="preserve"> </w:t>
      </w:r>
      <w:r w:rsidRPr="00A87040">
        <w:rPr>
          <w:rFonts w:asciiTheme="majorBidi" w:hAnsiTheme="majorBidi" w:cstheme="majorBidi"/>
          <w:color w:val="000000" w:themeColor="text1"/>
          <w:lang w:val="en-US"/>
        </w:rPr>
        <w:t>Ministry of Justice (interview).</w:t>
      </w:r>
    </w:p>
  </w:footnote>
  <w:footnote w:id="274">
    <w:p w14:paraId="1E337E51" w14:textId="32ADD0DD" w:rsidR="00D81F47" w:rsidRPr="00777A20" w:rsidRDefault="00D81F47" w:rsidP="003A1EB0">
      <w:pPr>
        <w:pStyle w:val="Funotentext"/>
        <w:jc w:val="both"/>
        <w:rPr>
          <w:lang w:val="en-GB"/>
        </w:rPr>
      </w:pPr>
      <w:r>
        <w:rPr>
          <w:rStyle w:val="Funotenzeichen"/>
        </w:rPr>
        <w:footnoteRef/>
      </w:r>
      <w:r w:rsidRPr="00777A20">
        <w:rPr>
          <w:lang w:val="en-GB"/>
        </w:rPr>
        <w:t xml:space="preserve"> </w:t>
      </w:r>
      <w:r w:rsidRPr="00DE69B4">
        <w:rPr>
          <w:lang w:val="en-GB"/>
        </w:rPr>
        <w:t>Please note that Denmark and Ireland are not bound by Directive 2014/41/EU. Please take on board whether this causes problems from the perspective of the “coherent and effective” application of the instruments.</w:t>
      </w:r>
    </w:p>
  </w:footnote>
  <w:footnote w:id="275">
    <w:p w14:paraId="6C75DC02" w14:textId="3F44F127" w:rsidR="00D81F47" w:rsidRPr="00CB796C" w:rsidRDefault="00D81F47" w:rsidP="007E164A">
      <w:pPr>
        <w:pStyle w:val="Funotentext"/>
        <w:rPr>
          <w:lang w:val="en-GB"/>
        </w:rPr>
      </w:pPr>
      <w:r>
        <w:rPr>
          <w:rStyle w:val="Funotenzeichen"/>
        </w:rPr>
        <w:footnoteRef/>
      </w:r>
      <w:r w:rsidRPr="00EE04F1">
        <w:rPr>
          <w:lang w:val="de-DE"/>
        </w:rPr>
        <w:t xml:space="preserve"> Heger and Wolter</w:t>
      </w:r>
      <w:r w:rsidRPr="00CB796C">
        <w:rPr>
          <w:lang w:val="de-DE"/>
        </w:rPr>
        <w:t>,</w:t>
      </w:r>
      <w:r w:rsidRPr="00EE04F1">
        <w:rPr>
          <w:lang w:val="de-DE"/>
        </w:rPr>
        <w:t xml:space="preserve"> in Ambos/König/Rackow</w:t>
      </w:r>
      <w:r w:rsidRPr="00CB796C">
        <w:rPr>
          <w:lang w:val="de-DE"/>
        </w:rPr>
        <w:t xml:space="preserve"> (Eds.)</w:t>
      </w:r>
      <w:r w:rsidRPr="00EE04F1">
        <w:rPr>
          <w:lang w:val="de-DE"/>
        </w:rPr>
        <w:t xml:space="preserve">, </w:t>
      </w:r>
      <w:r w:rsidRPr="00EE04F1">
        <w:rPr>
          <w:i/>
          <w:lang w:val="de-DE"/>
        </w:rPr>
        <w:t>Rechtshilferecht in Strafsachen</w:t>
      </w:r>
      <w:r w:rsidRPr="00EE04F1">
        <w:rPr>
          <w:lang w:val="de-DE"/>
        </w:rPr>
        <w:t>, 2nd ed</w:t>
      </w:r>
      <w:r w:rsidRPr="00CB796C">
        <w:rPr>
          <w:lang w:val="de-DE"/>
        </w:rPr>
        <w:t>. (Nomos, 2020), chapter 2 para 644; von Heintschel-Heinegg,</w:t>
      </w:r>
      <w:r w:rsidRPr="00EE04F1">
        <w:rPr>
          <w:lang w:val="de-DE"/>
        </w:rPr>
        <w:t xml:space="preserve"> </w:t>
      </w:r>
      <w:r w:rsidRPr="00CB796C">
        <w:rPr>
          <w:lang w:val="de-DE"/>
        </w:rPr>
        <w:t>“§ 37 Europäischer Haftbefehl” in Sieber/Satzger/von Heintschel-Heinegg (Eds.)</w:t>
      </w:r>
      <w:r w:rsidRPr="00EE04F1">
        <w:rPr>
          <w:lang w:val="de-DE"/>
        </w:rPr>
        <w:t xml:space="preserve">, </w:t>
      </w:r>
      <w:r w:rsidRPr="00EE04F1">
        <w:rPr>
          <w:i/>
          <w:lang w:val="de-DE"/>
        </w:rPr>
        <w:t>Europäisches Strafrecht</w:t>
      </w:r>
      <w:r w:rsidRPr="00EE04F1">
        <w:rPr>
          <w:lang w:val="de-DE"/>
        </w:rPr>
        <w:t>, 2nd ed</w:t>
      </w:r>
      <w:r w:rsidRPr="00CB796C">
        <w:rPr>
          <w:lang w:val="de-DE"/>
        </w:rPr>
        <w:t xml:space="preserve">. </w:t>
      </w:r>
      <w:r w:rsidRPr="00CB796C">
        <w:rPr>
          <w:lang w:val="en-GB"/>
        </w:rPr>
        <w:t>(Nomos, 2014), para 7.</w:t>
      </w:r>
    </w:p>
  </w:footnote>
  <w:footnote w:id="276">
    <w:p w14:paraId="00862B25" w14:textId="2808D9D0" w:rsidR="00D81F47" w:rsidRPr="0033147B" w:rsidRDefault="00D81F47" w:rsidP="007E164A">
      <w:pPr>
        <w:pStyle w:val="Funotentext"/>
        <w:rPr>
          <w:lang w:val="en-GB"/>
        </w:rPr>
      </w:pPr>
      <w:r>
        <w:rPr>
          <w:rStyle w:val="Funotenzeichen"/>
        </w:rPr>
        <w:footnoteRef/>
      </w:r>
      <w:r w:rsidRPr="0033147B">
        <w:rPr>
          <w:lang w:val="en-GB"/>
        </w:rPr>
        <w:t xml:space="preserve"> Higher Regional Court Stuttgart, Decision of 25 February 2010 - 1 Ausl. </w:t>
      </w:r>
      <w:r w:rsidRPr="00EE04F1">
        <w:rPr>
          <w:lang w:val="de-DE"/>
        </w:rPr>
        <w:t>(24) 1246/09, (2010</w:t>
      </w:r>
      <w:r w:rsidRPr="00CB796C">
        <w:rPr>
          <w:i/>
          <w:iCs/>
          <w:lang w:val="de-DE"/>
        </w:rPr>
        <w:t>) Neue Juristische Wochenschrift</w:t>
      </w:r>
      <w:r>
        <w:rPr>
          <w:lang w:val="de-DE"/>
        </w:rPr>
        <w:t xml:space="preserve">, </w:t>
      </w:r>
      <w:r w:rsidRPr="00CB796C">
        <w:rPr>
          <w:lang w:val="de-DE"/>
        </w:rPr>
        <w:t>1617 (</w:t>
      </w:r>
      <w:r>
        <w:rPr>
          <w:lang w:val="de-DE"/>
        </w:rPr>
        <w:t xml:space="preserve">at </w:t>
      </w:r>
      <w:r w:rsidRPr="00EE04F1">
        <w:rPr>
          <w:lang w:val="de-DE"/>
        </w:rPr>
        <w:t>1619); Burchard</w:t>
      </w:r>
      <w:r>
        <w:rPr>
          <w:lang w:val="de-DE"/>
        </w:rPr>
        <w:t>,</w:t>
      </w:r>
      <w:r w:rsidRPr="00EE04F1">
        <w:rPr>
          <w:lang w:val="de-DE"/>
        </w:rPr>
        <w:t xml:space="preserve"> </w:t>
      </w:r>
      <w:r>
        <w:rPr>
          <w:lang w:val="de-DE"/>
        </w:rPr>
        <w:t>“</w:t>
      </w:r>
      <w:r w:rsidRPr="00CB796C">
        <w:rPr>
          <w:lang w:val="de-DE"/>
        </w:rPr>
        <w:t>§ 14 Auslieferung – Europäischer Haftbefehl</w:t>
      </w:r>
      <w:r>
        <w:rPr>
          <w:lang w:val="de-DE"/>
        </w:rPr>
        <w:t>“</w:t>
      </w:r>
      <w:r w:rsidRPr="00CB796C">
        <w:rPr>
          <w:lang w:val="de-DE"/>
        </w:rPr>
        <w:t xml:space="preserve"> in Böse (</w:t>
      </w:r>
      <w:r>
        <w:rPr>
          <w:lang w:val="de-DE"/>
        </w:rPr>
        <w:t>E</w:t>
      </w:r>
      <w:r w:rsidRPr="00CB796C">
        <w:rPr>
          <w:lang w:val="de-DE"/>
        </w:rPr>
        <w:t xml:space="preserve">d.), </w:t>
      </w:r>
      <w:r w:rsidRPr="00CB796C">
        <w:rPr>
          <w:i/>
          <w:lang w:val="de-DE"/>
        </w:rPr>
        <w:t>Europäisches Strafrecht</w:t>
      </w:r>
      <w:r w:rsidRPr="00CB796C">
        <w:rPr>
          <w:lang w:val="de-DE"/>
        </w:rPr>
        <w:t>, 2nd ed</w:t>
      </w:r>
      <w:r>
        <w:rPr>
          <w:lang w:val="de-DE"/>
        </w:rPr>
        <w:t>.</w:t>
      </w:r>
      <w:r w:rsidRPr="00CB796C">
        <w:rPr>
          <w:lang w:val="de-DE"/>
        </w:rPr>
        <w:t xml:space="preserve"> </w:t>
      </w:r>
      <w:r w:rsidRPr="00CB796C">
        <w:rPr>
          <w:lang w:val="en-US"/>
        </w:rPr>
        <w:t>(</w:t>
      </w:r>
      <w:r w:rsidRPr="0033147B">
        <w:rPr>
          <w:lang w:val="en-GB"/>
        </w:rPr>
        <w:t>Nomos</w:t>
      </w:r>
      <w:r w:rsidRPr="00CB796C">
        <w:rPr>
          <w:lang w:val="en-US"/>
        </w:rPr>
        <w:t>,</w:t>
      </w:r>
      <w:r w:rsidRPr="0033147B">
        <w:rPr>
          <w:lang w:val="en-GB"/>
        </w:rPr>
        <w:t xml:space="preserve"> 2021</w:t>
      </w:r>
      <w:r w:rsidRPr="00CB796C">
        <w:rPr>
          <w:lang w:val="en-US"/>
        </w:rPr>
        <w:t>)</w:t>
      </w:r>
      <w:r w:rsidRPr="0033147B">
        <w:rPr>
          <w:lang w:val="en-GB"/>
        </w:rPr>
        <w:t xml:space="preserve">, para. 55; see also Constitutional Court, decision of 15 March 2007 – 1 BvR 1887/06, ECLI:DE:BVerfG:2007:rk20070315.1bvr188706, </w:t>
      </w:r>
      <w:r>
        <w:rPr>
          <w:lang w:val="en-US"/>
        </w:rPr>
        <w:t>(</w:t>
      </w:r>
      <w:r w:rsidRPr="00F4582B">
        <w:rPr>
          <w:lang w:val="en-US"/>
        </w:rPr>
        <w:t>2007</w:t>
      </w:r>
      <w:r>
        <w:rPr>
          <w:lang w:val="en-US"/>
        </w:rPr>
        <w:t>)</w:t>
      </w:r>
      <w:r w:rsidRPr="0033147B">
        <w:rPr>
          <w:lang w:val="en-GB"/>
        </w:rPr>
        <w:t xml:space="preserve"> </w:t>
      </w:r>
      <w:r w:rsidRPr="0033147B">
        <w:rPr>
          <w:i/>
          <w:lang w:val="en-GB"/>
        </w:rPr>
        <w:t>Neue Juristische Wochenschrift,</w:t>
      </w:r>
      <w:r>
        <w:rPr>
          <w:i/>
          <w:lang w:val="en-US"/>
        </w:rPr>
        <w:t>,</w:t>
      </w:r>
      <w:r w:rsidRPr="0033147B">
        <w:rPr>
          <w:i/>
          <w:lang w:val="en-GB"/>
        </w:rPr>
        <w:t xml:space="preserve"> </w:t>
      </w:r>
      <w:r w:rsidRPr="0033147B">
        <w:rPr>
          <w:lang w:val="en-GB"/>
        </w:rPr>
        <w:t>2318</w:t>
      </w:r>
      <w:r>
        <w:rPr>
          <w:lang w:val="en-US"/>
        </w:rPr>
        <w:t>,</w:t>
      </w:r>
      <w:r w:rsidRPr="0033147B">
        <w:rPr>
          <w:lang w:val="en-GB"/>
        </w:rPr>
        <w:t xml:space="preserve"> where the Court considered 10 days detention in a purely domestic case disproportionate.</w:t>
      </w:r>
    </w:p>
  </w:footnote>
  <w:footnote w:id="277">
    <w:p w14:paraId="5746F4A2" w14:textId="0D8A889A" w:rsidR="00D81F47" w:rsidRPr="0033147B" w:rsidRDefault="00D81F47" w:rsidP="0018467D">
      <w:pPr>
        <w:pStyle w:val="Funotentext"/>
        <w:rPr>
          <w:lang w:val="en-GB"/>
        </w:rPr>
      </w:pPr>
      <w:r>
        <w:rPr>
          <w:rStyle w:val="Funotenzeichen"/>
        </w:rPr>
        <w:footnoteRef/>
      </w:r>
      <w:r w:rsidRPr="0033147B">
        <w:rPr>
          <w:lang w:val="en-GB"/>
        </w:rPr>
        <w:t xml:space="preserve"> District Court</w:t>
      </w:r>
      <w:r>
        <w:rPr>
          <w:lang w:val="en-US"/>
        </w:rPr>
        <w:t xml:space="preserve"> (interview)</w:t>
      </w:r>
      <w:r w:rsidRPr="0033147B">
        <w:rPr>
          <w:lang w:val="en-GB"/>
        </w:rPr>
        <w:t>.</w:t>
      </w:r>
    </w:p>
  </w:footnote>
  <w:footnote w:id="278">
    <w:p w14:paraId="5823BF12" w14:textId="7698B644" w:rsidR="00D81F47" w:rsidRPr="00CB796C" w:rsidRDefault="00D81F47" w:rsidP="006D2E3F">
      <w:pPr>
        <w:pStyle w:val="Funotentext"/>
        <w:rPr>
          <w:rFonts w:asciiTheme="majorBidi" w:hAnsiTheme="majorBidi" w:cstheme="majorBidi"/>
          <w:color w:val="000000" w:themeColor="text1"/>
          <w:lang w:val="en-US"/>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Federal Ministry of Justice (interview).</w:t>
      </w:r>
    </w:p>
  </w:footnote>
  <w:footnote w:id="279">
    <w:p w14:paraId="3631EC01" w14:textId="688C2DEE" w:rsidR="00D81F47" w:rsidRPr="0033147B" w:rsidRDefault="00D81F47" w:rsidP="007E164A">
      <w:pPr>
        <w:pStyle w:val="Funotentext"/>
        <w:rPr>
          <w:lang w:val="en-GB"/>
        </w:rPr>
      </w:pPr>
      <w:r>
        <w:rPr>
          <w:rStyle w:val="Funotenzeichen"/>
        </w:rPr>
        <w:footnoteRef/>
      </w:r>
      <w:r w:rsidRPr="0033147B">
        <w:rPr>
          <w:lang w:val="en-GB"/>
        </w:rPr>
        <w:t xml:space="preserve"> Higher Regional Court Berlin, Decision of 10 November 2010 – 3 Ws 459/10, (2011) </w:t>
      </w:r>
      <w:r w:rsidRPr="0033147B">
        <w:rPr>
          <w:i/>
          <w:lang w:val="en-GB"/>
        </w:rPr>
        <w:t xml:space="preserve">Neue Zeitschrift für Strafrecht, </w:t>
      </w:r>
      <w:r w:rsidRPr="0033147B">
        <w:rPr>
          <w:lang w:val="en-GB"/>
        </w:rPr>
        <w:t xml:space="preserve">653 (at 654); Higher Regional Court Karlsruhe Decision of </w:t>
      </w:r>
      <w:r w:rsidRPr="0033147B">
        <w:rPr>
          <w:rStyle w:val="datum"/>
          <w:lang w:val="en-GB"/>
        </w:rPr>
        <w:t>16 September 2014</w:t>
      </w:r>
      <w:r w:rsidRPr="0033147B">
        <w:rPr>
          <w:lang w:val="en-GB"/>
        </w:rPr>
        <w:t xml:space="preserve"> - </w:t>
      </w:r>
      <w:r w:rsidRPr="0033147B">
        <w:rPr>
          <w:rStyle w:val="az"/>
          <w:lang w:val="en-GB"/>
        </w:rPr>
        <w:t xml:space="preserve">2 Ws 334/14, (2015) </w:t>
      </w:r>
      <w:r w:rsidRPr="0033147B">
        <w:rPr>
          <w:rStyle w:val="az"/>
          <w:i/>
          <w:lang w:val="en-GB"/>
        </w:rPr>
        <w:t xml:space="preserve">Strafverteidiger, </w:t>
      </w:r>
      <w:r w:rsidRPr="0033147B">
        <w:rPr>
          <w:rStyle w:val="az"/>
          <w:lang w:val="en-GB"/>
        </w:rPr>
        <w:t xml:space="preserve">346. </w:t>
      </w:r>
    </w:p>
  </w:footnote>
  <w:footnote w:id="280">
    <w:p w14:paraId="3437B9BB" w14:textId="16A73B43" w:rsidR="00D81F47" w:rsidRPr="0033147B" w:rsidRDefault="00D81F47" w:rsidP="007E164A">
      <w:pPr>
        <w:pStyle w:val="Funotentext"/>
        <w:rPr>
          <w:lang w:val="en-GB"/>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 xml:space="preserve">Public Prosecutor’s Office </w:t>
      </w:r>
      <w:r>
        <w:rPr>
          <w:rFonts w:asciiTheme="majorBidi" w:hAnsiTheme="majorBidi" w:cstheme="majorBidi"/>
          <w:color w:val="000000" w:themeColor="text1"/>
          <w:lang w:val="en-US"/>
        </w:rPr>
        <w:t>III</w:t>
      </w:r>
      <w:r w:rsidRPr="00A87040">
        <w:rPr>
          <w:rFonts w:asciiTheme="majorBidi" w:hAnsiTheme="majorBidi" w:cstheme="majorBidi"/>
          <w:color w:val="000000" w:themeColor="text1"/>
          <w:lang w:val="en-US"/>
        </w:rPr>
        <w:t xml:space="preserve"> (interview).</w:t>
      </w:r>
    </w:p>
  </w:footnote>
  <w:footnote w:id="281">
    <w:p w14:paraId="0E9AADE9" w14:textId="1319CF84" w:rsidR="00D81F47" w:rsidRPr="00777A20" w:rsidRDefault="00D81F47" w:rsidP="003A1EB0">
      <w:pPr>
        <w:pStyle w:val="Funotentext"/>
        <w:jc w:val="both"/>
        <w:rPr>
          <w:lang w:val="en-GB"/>
        </w:rPr>
      </w:pPr>
      <w:r>
        <w:rPr>
          <w:rStyle w:val="Funotenzeichen"/>
        </w:rPr>
        <w:footnoteRef/>
      </w:r>
      <w:r>
        <w:rPr>
          <w:lang w:val="en-GB"/>
        </w:rPr>
        <w:t xml:space="preserve"> </w:t>
      </w:r>
      <w:r w:rsidRPr="00DE69B4">
        <w:rPr>
          <w:lang w:val="en-GB"/>
        </w:rPr>
        <w:t xml:space="preserve">Please note that Denmark and Ireland are not bound by Directive 2014/41/EU. Please take on board whether this causes problems from the perspective of the “coherent and effective” application of the instruments. </w:t>
      </w:r>
      <w:r w:rsidRPr="00777A20">
        <w:rPr>
          <w:lang w:val="en-GB"/>
        </w:rPr>
        <w:t xml:space="preserve"> </w:t>
      </w:r>
    </w:p>
  </w:footnote>
  <w:footnote w:id="282">
    <w:p w14:paraId="5BB64211" w14:textId="54AF3DFC" w:rsidR="00D81F47" w:rsidRPr="00777A20" w:rsidRDefault="00D81F47" w:rsidP="003A1EB0">
      <w:pPr>
        <w:pStyle w:val="Funotentext"/>
        <w:jc w:val="both"/>
        <w:rPr>
          <w:lang w:val="en-GB"/>
        </w:rPr>
      </w:pPr>
      <w:r>
        <w:rPr>
          <w:rStyle w:val="Funotenzeichen"/>
        </w:rPr>
        <w:footnoteRef/>
      </w:r>
      <w:r w:rsidRPr="00777A20">
        <w:rPr>
          <w:lang w:val="en-GB"/>
        </w:rPr>
        <w:t xml:space="preserve"> </w:t>
      </w:r>
      <w:r w:rsidRPr="005F4ACA">
        <w:rPr>
          <w:lang w:val="en-GB"/>
        </w:rPr>
        <w:t xml:space="preserve">It should be remembered that a temporary transfer </w:t>
      </w:r>
      <w:r>
        <w:rPr>
          <w:lang w:val="en-GB"/>
        </w:rPr>
        <w:t xml:space="preserve">to the issuing MS </w:t>
      </w:r>
      <w:r w:rsidRPr="005F4ACA">
        <w:rPr>
          <w:lang w:val="en-GB"/>
        </w:rPr>
        <w:t xml:space="preserve">is only possible if the person concerned is in custody in the </w:t>
      </w:r>
      <w:r w:rsidRPr="005F4ACA">
        <w:rPr>
          <w:i/>
          <w:iCs/>
          <w:lang w:val="en-GB"/>
        </w:rPr>
        <w:t>executing</w:t>
      </w:r>
      <w:r w:rsidRPr="005F4ACA">
        <w:rPr>
          <w:lang w:val="en-GB"/>
        </w:rPr>
        <w:t xml:space="preserve"> MS (see p. 8).</w:t>
      </w:r>
    </w:p>
  </w:footnote>
  <w:footnote w:id="283">
    <w:p w14:paraId="2AFE0339" w14:textId="4804BA0B" w:rsidR="00D81F47" w:rsidRPr="00777A20" w:rsidRDefault="00D81F47" w:rsidP="003A1EB0">
      <w:pPr>
        <w:pStyle w:val="Funotentext"/>
        <w:jc w:val="both"/>
        <w:rPr>
          <w:lang w:val="en-GB"/>
        </w:rPr>
      </w:pPr>
      <w:r>
        <w:rPr>
          <w:rStyle w:val="Funotenzeichen"/>
        </w:rPr>
        <w:footnoteRef/>
      </w:r>
      <w:r w:rsidRPr="00777A20">
        <w:rPr>
          <w:lang w:val="en-GB"/>
        </w:rPr>
        <w:t xml:space="preserve"> Cf. C</w:t>
      </w:r>
      <w:r>
        <w:rPr>
          <w:lang w:val="en-GB"/>
        </w:rPr>
        <w:t>ase C-285/23.</w:t>
      </w:r>
    </w:p>
  </w:footnote>
  <w:footnote w:id="284">
    <w:p w14:paraId="51D3E57B" w14:textId="77777777" w:rsidR="00D81F47" w:rsidRPr="00F3063A" w:rsidRDefault="00D81F47" w:rsidP="003A1EB0">
      <w:pPr>
        <w:pStyle w:val="Funotentext"/>
        <w:jc w:val="both"/>
        <w:rPr>
          <w:lang w:val="en-GB"/>
        </w:rPr>
      </w:pPr>
      <w:r>
        <w:rPr>
          <w:rStyle w:val="Funotenzeichen"/>
        </w:rPr>
        <w:footnoteRef/>
      </w:r>
      <w:r w:rsidRPr="00F3063A">
        <w:rPr>
          <w:lang w:val="en-GB"/>
        </w:rPr>
        <w:t xml:space="preserve"> </w:t>
      </w:r>
      <w:r>
        <w:rPr>
          <w:lang w:val="en-GB"/>
        </w:rPr>
        <w:t>Cf. Case C-255/23.</w:t>
      </w:r>
    </w:p>
  </w:footnote>
  <w:footnote w:id="285">
    <w:p w14:paraId="5E0974A5" w14:textId="2494C6C7" w:rsidR="00D81F47" w:rsidRPr="00BC5ED2" w:rsidRDefault="00D81F47" w:rsidP="009E7EAA">
      <w:pPr>
        <w:pStyle w:val="Funotentext"/>
        <w:rPr>
          <w:lang w:val="en-GB"/>
        </w:rPr>
      </w:pPr>
      <w:r>
        <w:rPr>
          <w:rStyle w:val="Funotenzeichen"/>
        </w:rPr>
        <w:footnoteRef/>
      </w:r>
      <w:r w:rsidRPr="00EE04F1">
        <w:rPr>
          <w:lang w:val="de-DE"/>
        </w:rPr>
        <w:t xml:space="preserve"> Hackner and Schierholt, </w:t>
      </w:r>
      <w:r w:rsidRPr="00EE04F1">
        <w:rPr>
          <w:i/>
          <w:lang w:val="de-DE"/>
        </w:rPr>
        <w:t>Internationale Rechtshilfe in Strafsachen</w:t>
      </w:r>
      <w:r w:rsidRPr="00EE04F1">
        <w:rPr>
          <w:lang w:val="de-DE"/>
        </w:rPr>
        <w:t xml:space="preserve">, 4th ed. (C.H. Beck 2023), para 906; Hackner, </w:t>
      </w:r>
      <w:r w:rsidRPr="00CB796C">
        <w:rPr>
          <w:lang w:val="de-DE"/>
        </w:rPr>
        <w:t xml:space="preserve">“Vor § 68 IRG” in </w:t>
      </w:r>
      <w:r w:rsidRPr="00EE04F1">
        <w:rPr>
          <w:lang w:val="de-DE"/>
        </w:rPr>
        <w:t xml:space="preserve">Schomburg/Lagodny, </w:t>
      </w:r>
      <w:r w:rsidRPr="00EE04F1">
        <w:rPr>
          <w:i/>
          <w:lang w:val="de-DE"/>
        </w:rPr>
        <w:t>Internationale Rechtshilfe in Strafsachen</w:t>
      </w:r>
      <w:r w:rsidRPr="00EE04F1">
        <w:rPr>
          <w:lang w:val="de-DE"/>
        </w:rPr>
        <w:t xml:space="preserve">, 6th ed. </w:t>
      </w:r>
      <w:r w:rsidRPr="0033147B">
        <w:rPr>
          <w:lang w:val="en-GB"/>
        </w:rPr>
        <w:t>(C.H. Beck, 2020), para 81.</w:t>
      </w:r>
    </w:p>
  </w:footnote>
  <w:footnote w:id="286">
    <w:p w14:paraId="2BCCD827" w14:textId="59C21F66" w:rsidR="00D81F47" w:rsidRPr="0033147B" w:rsidRDefault="00D81F47" w:rsidP="009E7EAA">
      <w:pPr>
        <w:pStyle w:val="Funotentext"/>
        <w:rPr>
          <w:lang w:val="en-GB"/>
        </w:rPr>
      </w:pPr>
      <w:r>
        <w:rPr>
          <w:rStyle w:val="Funotenzeichen"/>
        </w:rPr>
        <w:footnoteRef/>
      </w:r>
      <w:r w:rsidRPr="0033147B">
        <w:rPr>
          <w:lang w:val="en-GB"/>
        </w:rPr>
        <w:t xml:space="preserve"> See the explanatory memorandum to the draft on the act on supporting the use of videoconference-tools in judicial proceedings, Bundestags-Drucksache No. 17/1224, p. 11.</w:t>
      </w:r>
    </w:p>
  </w:footnote>
  <w:footnote w:id="287">
    <w:p w14:paraId="6C8D0D75" w14:textId="073B6958" w:rsidR="00D81F47" w:rsidRPr="00AF4658" w:rsidRDefault="00D81F47" w:rsidP="009E7EAA">
      <w:pPr>
        <w:pStyle w:val="Funotentext"/>
        <w:rPr>
          <w:lang w:val="en-US"/>
        </w:rPr>
      </w:pPr>
      <w:r>
        <w:rPr>
          <w:rStyle w:val="Funotenzeichen"/>
        </w:rPr>
        <w:footnoteRef/>
      </w:r>
      <w:r w:rsidRPr="0033147B">
        <w:rPr>
          <w:lang w:val="en-GB"/>
        </w:rPr>
        <w:t xml:space="preserve"> See the explanatory memorandum to the draft on the act on supporting the use of videoconference-tools in judicial proceedings, Bundestags-Drucksache No. 17/1224, p. 9, 11.</w:t>
      </w:r>
    </w:p>
  </w:footnote>
  <w:footnote w:id="288">
    <w:p w14:paraId="7A4A31AB" w14:textId="77777777" w:rsidR="00D81F47" w:rsidRPr="00AF4658" w:rsidRDefault="00D81F47" w:rsidP="009E7EAA">
      <w:pPr>
        <w:pStyle w:val="Funotentext"/>
        <w:rPr>
          <w:lang w:val="en-US"/>
        </w:rPr>
      </w:pPr>
      <w:r>
        <w:rPr>
          <w:rStyle w:val="Funotenzeichen"/>
        </w:rPr>
        <w:footnoteRef/>
      </w:r>
      <w:r w:rsidRPr="0033147B">
        <w:rPr>
          <w:lang w:val="en-GB"/>
        </w:rPr>
        <w:t xml:space="preserve"> </w:t>
      </w:r>
      <w:r w:rsidRPr="00AF4658">
        <w:rPr>
          <w:lang w:val="en-US"/>
        </w:rPr>
        <w:t>See the report of the P</w:t>
      </w:r>
      <w:r>
        <w:rPr>
          <w:lang w:val="en-US"/>
        </w:rPr>
        <w:t>arliament’s Committee on Legal Affairs, Bundestags-Drucksache 17/12418, p. 16.</w:t>
      </w:r>
    </w:p>
  </w:footnote>
  <w:footnote w:id="289">
    <w:p w14:paraId="0B606A2E" w14:textId="2328ACC3" w:rsidR="00D81F47" w:rsidRPr="00CB796C" w:rsidRDefault="00D81F47" w:rsidP="009E7EAA">
      <w:pPr>
        <w:pStyle w:val="Funotentext"/>
        <w:rPr>
          <w:lang w:val="de-DE"/>
        </w:rPr>
      </w:pPr>
      <w:r>
        <w:rPr>
          <w:rStyle w:val="Funotenzeichen"/>
        </w:rPr>
        <w:footnoteRef/>
      </w:r>
      <w:r w:rsidRPr="00EE04F1">
        <w:rPr>
          <w:lang w:val="de-DE"/>
        </w:rPr>
        <w:t xml:space="preserve"> </w:t>
      </w:r>
      <w:r w:rsidRPr="00662BC5">
        <w:rPr>
          <w:lang w:val="de-DE"/>
        </w:rPr>
        <w:t>Arnoldi</w:t>
      </w:r>
      <w:r w:rsidRPr="00CB796C">
        <w:rPr>
          <w:lang w:val="de-DE"/>
        </w:rPr>
        <w:t>,</w:t>
      </w:r>
      <w:r w:rsidRPr="00662BC5">
        <w:rPr>
          <w:lang w:val="de-DE"/>
        </w:rPr>
        <w:t xml:space="preserve"> </w:t>
      </w:r>
      <w:r w:rsidRPr="00CB796C">
        <w:rPr>
          <w:lang w:val="de-DE"/>
        </w:rPr>
        <w:t xml:space="preserve">“§ 233” in </w:t>
      </w:r>
      <w:r w:rsidRPr="00CB796C">
        <w:rPr>
          <w:i/>
          <w:lang w:val="de-DE"/>
        </w:rPr>
        <w:t>Münchener Kommentar zu</w:t>
      </w:r>
      <w:r>
        <w:rPr>
          <w:i/>
          <w:lang w:val="de-DE"/>
        </w:rPr>
        <w:t>r</w:t>
      </w:r>
      <w:r w:rsidRPr="00CB796C">
        <w:rPr>
          <w:i/>
          <w:lang w:val="de-DE"/>
        </w:rPr>
        <w:t xml:space="preserve"> Strafprozessordnung</w:t>
      </w:r>
      <w:r w:rsidRPr="00CB796C">
        <w:rPr>
          <w:lang w:val="de-DE"/>
        </w:rPr>
        <w:t>, 2nd ed. (C.H. Beck, 2024), para 15; Becker,</w:t>
      </w:r>
      <w:r w:rsidRPr="00662BC5">
        <w:rPr>
          <w:lang w:val="de-DE"/>
        </w:rPr>
        <w:t xml:space="preserve"> </w:t>
      </w:r>
      <w:r w:rsidRPr="00CB796C">
        <w:rPr>
          <w:lang w:val="de-DE"/>
        </w:rPr>
        <w:t xml:space="preserve">“§ 233” in Löwe-Rosenberg, </w:t>
      </w:r>
      <w:r w:rsidRPr="00CB796C">
        <w:rPr>
          <w:i/>
          <w:lang w:val="de-DE"/>
        </w:rPr>
        <w:t>Strafprozessordnung, Band 6 - §§ 212-255a</w:t>
      </w:r>
      <w:r w:rsidRPr="00CB796C">
        <w:rPr>
          <w:lang w:val="de-DE"/>
        </w:rPr>
        <w:t>, 27th ed. (de Gruyter, 2020), para 29.</w:t>
      </w:r>
    </w:p>
  </w:footnote>
  <w:footnote w:id="290">
    <w:p w14:paraId="0CD62056" w14:textId="34622232" w:rsidR="00D81F47" w:rsidRPr="0033147B" w:rsidRDefault="00D81F47" w:rsidP="009E7EAA">
      <w:pPr>
        <w:pStyle w:val="Funotentext"/>
        <w:rPr>
          <w:lang w:val="en-GB"/>
        </w:rPr>
      </w:pPr>
      <w:r>
        <w:rPr>
          <w:rStyle w:val="Funotenzeichen"/>
        </w:rPr>
        <w:footnoteRef/>
      </w:r>
      <w:r w:rsidRPr="00EE04F1">
        <w:rPr>
          <w:lang w:val="de-DE"/>
        </w:rPr>
        <w:t xml:space="preserve"> Hackner and Schierholt, </w:t>
      </w:r>
      <w:r w:rsidRPr="00EE04F1">
        <w:rPr>
          <w:i/>
          <w:lang w:val="de-DE"/>
        </w:rPr>
        <w:t>Internationale Rechtshilfe in Strafsachen</w:t>
      </w:r>
      <w:r w:rsidRPr="00EE04F1">
        <w:rPr>
          <w:lang w:val="de-DE"/>
        </w:rPr>
        <w:t>, 4th ed</w:t>
      </w:r>
      <w:r w:rsidRPr="00CB796C">
        <w:rPr>
          <w:lang w:val="de-DE"/>
        </w:rPr>
        <w:t xml:space="preserve">. </w:t>
      </w:r>
      <w:r w:rsidRPr="00CB796C">
        <w:rPr>
          <w:lang w:val="en-US"/>
        </w:rPr>
        <w:t>(C.H. Beck</w:t>
      </w:r>
      <w:r>
        <w:rPr>
          <w:lang w:val="en-US"/>
        </w:rPr>
        <w:t>,</w:t>
      </w:r>
      <w:r w:rsidRPr="0033147B">
        <w:rPr>
          <w:lang w:val="en-GB"/>
        </w:rPr>
        <w:t xml:space="preserve"> 2023), para 906.</w:t>
      </w:r>
    </w:p>
  </w:footnote>
  <w:footnote w:id="291">
    <w:p w14:paraId="7ECBE97B" w14:textId="3DAB662C" w:rsidR="00D81F47" w:rsidRPr="0033147B" w:rsidRDefault="00D81F47" w:rsidP="00885E37">
      <w:pPr>
        <w:pStyle w:val="Funotentext"/>
        <w:rPr>
          <w:lang w:val="en-GB"/>
        </w:rPr>
      </w:pPr>
      <w:r>
        <w:rPr>
          <w:rStyle w:val="Funotenzeichen"/>
        </w:rPr>
        <w:footnoteRef/>
      </w:r>
      <w:r w:rsidRPr="0033147B">
        <w:rPr>
          <w:lang w:val="en-GB"/>
        </w:rPr>
        <w:t xml:space="preserve"> </w:t>
      </w:r>
      <w:r>
        <w:rPr>
          <w:lang w:val="en-US"/>
        </w:rPr>
        <w:t>Defence Lawyer II (interview)</w:t>
      </w:r>
      <w:r w:rsidRPr="0033147B">
        <w:rPr>
          <w:lang w:val="en-GB"/>
        </w:rPr>
        <w:t xml:space="preserve">; </w:t>
      </w:r>
      <w:r>
        <w:rPr>
          <w:lang w:val="en-GB"/>
        </w:rPr>
        <w:t xml:space="preserve">State’s </w:t>
      </w:r>
      <w:r w:rsidRPr="00A87040">
        <w:rPr>
          <w:rFonts w:asciiTheme="majorBidi" w:hAnsiTheme="majorBidi" w:cstheme="majorBidi"/>
          <w:color w:val="000000" w:themeColor="text1"/>
          <w:lang w:val="en-US"/>
        </w:rPr>
        <w:t>Ministry of Justice (interview).</w:t>
      </w:r>
    </w:p>
  </w:footnote>
  <w:footnote w:id="292">
    <w:p w14:paraId="0C58B76A" w14:textId="4D5E99B5" w:rsidR="00D81F47" w:rsidRPr="00CB796C" w:rsidRDefault="00D81F47" w:rsidP="009E7EAA">
      <w:pPr>
        <w:pStyle w:val="Funotentext"/>
        <w:rPr>
          <w:lang w:val="en-US"/>
        </w:rPr>
      </w:pPr>
      <w:r>
        <w:rPr>
          <w:rStyle w:val="Funotenzeichen"/>
        </w:rPr>
        <w:footnoteRef/>
      </w:r>
      <w:r w:rsidRPr="0033147B">
        <w:rPr>
          <w:lang w:val="en-GB"/>
        </w:rPr>
        <w:t xml:space="preserve"> See the explanatory memorandum to the law implementing DR 2014/41/EU, Bundestags-Drucksache 18/9757, p. 65; Böse, “§ 91j” in Grützner/Pötz/Kreß/Gazeas/Brodowski (Eds.), </w:t>
      </w:r>
      <w:r w:rsidRPr="0033147B">
        <w:rPr>
          <w:i/>
          <w:lang w:val="en-GB"/>
        </w:rPr>
        <w:t>Internationaler Rechtshilfeverkehr in Strafsachen</w:t>
      </w:r>
      <w:r w:rsidRPr="0033147B">
        <w:rPr>
          <w:lang w:val="en-GB"/>
        </w:rPr>
        <w:t xml:space="preserve">, 3rd ed. </w:t>
      </w:r>
      <w:r w:rsidRPr="00CB796C">
        <w:rPr>
          <w:lang w:val="de-DE"/>
        </w:rPr>
        <w:t>(5</w:t>
      </w:r>
      <w:r>
        <w:rPr>
          <w:lang w:val="de-DE"/>
        </w:rPr>
        <w:t>7th</w:t>
      </w:r>
      <w:r w:rsidRPr="00CB796C">
        <w:rPr>
          <w:lang w:val="de-DE"/>
        </w:rPr>
        <w:t xml:space="preserve"> instal</w:t>
      </w:r>
      <w:r>
        <w:rPr>
          <w:lang w:val="de-DE"/>
        </w:rPr>
        <w:t>l</w:t>
      </w:r>
      <w:r w:rsidRPr="00CB796C">
        <w:rPr>
          <w:lang w:val="de-DE"/>
        </w:rPr>
        <w:t xml:space="preserve">ment, C.F. Müller, </w:t>
      </w:r>
      <w:r w:rsidRPr="00EE04F1">
        <w:rPr>
          <w:lang w:val="de-DE"/>
        </w:rPr>
        <w:t>Ju</w:t>
      </w:r>
      <w:r>
        <w:rPr>
          <w:lang w:val="de-DE"/>
        </w:rPr>
        <w:t>n. 2024</w:t>
      </w:r>
      <w:r w:rsidRPr="00EE04F1">
        <w:rPr>
          <w:lang w:val="de-DE"/>
        </w:rPr>
        <w:t>), para. 11; Trautmann</w:t>
      </w:r>
      <w:r w:rsidRPr="00CB796C">
        <w:rPr>
          <w:lang w:val="de-DE"/>
        </w:rPr>
        <w:t>,</w:t>
      </w:r>
      <w:r w:rsidRPr="00EE04F1">
        <w:rPr>
          <w:lang w:val="de-DE"/>
        </w:rPr>
        <w:t xml:space="preserve">        </w:t>
      </w:r>
      <w:r w:rsidRPr="00CB796C">
        <w:rPr>
          <w:lang w:val="de-DE"/>
        </w:rPr>
        <w:t xml:space="preserve">“§ 91j” in Schomburg/Lagodny, </w:t>
      </w:r>
      <w:r w:rsidRPr="00CB796C">
        <w:rPr>
          <w:i/>
          <w:lang w:val="de-DE"/>
        </w:rPr>
        <w:t>Internationale Rechtshilfe in Strafsachen</w:t>
      </w:r>
      <w:r w:rsidRPr="00CB796C">
        <w:rPr>
          <w:lang w:val="de-DE"/>
        </w:rPr>
        <w:t>, 6 th ed. (C.H. Beck, 2020), para 11; Wörner,</w:t>
      </w:r>
      <w:r w:rsidRPr="00EE04F1">
        <w:rPr>
          <w:lang w:val="de-DE"/>
        </w:rPr>
        <w:t xml:space="preserve"> </w:t>
      </w:r>
      <w:r w:rsidRPr="00CB796C">
        <w:rPr>
          <w:lang w:val="de-DE"/>
        </w:rPr>
        <w:t>“§ 91c” in Ambos/König/Rackow (Eds.)</w:t>
      </w:r>
      <w:r w:rsidRPr="00EE04F1">
        <w:rPr>
          <w:lang w:val="de-DE"/>
        </w:rPr>
        <w:t xml:space="preserve">, </w:t>
      </w:r>
      <w:r w:rsidRPr="00EE04F1">
        <w:rPr>
          <w:i/>
          <w:lang w:val="de-DE"/>
        </w:rPr>
        <w:t>Rechtshilferecht in Strafsachen</w:t>
      </w:r>
      <w:r w:rsidRPr="00EE04F1">
        <w:rPr>
          <w:lang w:val="de-DE"/>
        </w:rPr>
        <w:t>, 2nd ed</w:t>
      </w:r>
      <w:r w:rsidRPr="00CB796C">
        <w:rPr>
          <w:lang w:val="de-DE"/>
        </w:rPr>
        <w:t xml:space="preserve">. </w:t>
      </w:r>
      <w:r w:rsidRPr="00CB796C">
        <w:rPr>
          <w:lang w:val="en-US"/>
        </w:rPr>
        <w:t>(Nomos, 2020), chapter 4 para 571.</w:t>
      </w:r>
    </w:p>
  </w:footnote>
  <w:footnote w:id="293">
    <w:p w14:paraId="0C445745" w14:textId="10E58240" w:rsidR="00D81F47" w:rsidRPr="00CB796C" w:rsidRDefault="00D81F47" w:rsidP="00B25ABA">
      <w:pPr>
        <w:pStyle w:val="Funotentext"/>
        <w:rPr>
          <w:lang w:val="it-IT"/>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Public Prosecutor’s Office</w:t>
      </w:r>
      <w:r>
        <w:rPr>
          <w:rFonts w:asciiTheme="majorBidi" w:hAnsiTheme="majorBidi" w:cstheme="majorBidi"/>
          <w:color w:val="000000" w:themeColor="text1"/>
          <w:lang w:val="en-US"/>
        </w:rPr>
        <w:t xml:space="preserve"> I</w:t>
      </w:r>
      <w:r w:rsidRPr="00A87040">
        <w:rPr>
          <w:rFonts w:asciiTheme="majorBidi" w:hAnsiTheme="majorBidi" w:cstheme="majorBidi"/>
          <w:color w:val="000000" w:themeColor="text1"/>
          <w:lang w:val="en-US"/>
        </w:rPr>
        <w:t xml:space="preserve"> (interview).</w:t>
      </w:r>
      <w:r>
        <w:rPr>
          <w:rFonts w:asciiTheme="majorBidi" w:hAnsiTheme="majorBidi" w:cstheme="majorBidi"/>
          <w:color w:val="000000" w:themeColor="text1"/>
          <w:lang w:val="en-US"/>
        </w:rPr>
        <w:t xml:space="preserve"> </w:t>
      </w:r>
    </w:p>
  </w:footnote>
  <w:footnote w:id="294">
    <w:p w14:paraId="0FE833C8" w14:textId="4FC286AC" w:rsidR="00D81F47" w:rsidRPr="00CB796C" w:rsidRDefault="00D81F47" w:rsidP="00DE4457">
      <w:pPr>
        <w:pStyle w:val="Funotentext"/>
        <w:rPr>
          <w:lang w:val="it-IT"/>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Public Prosecutor’s Office</w:t>
      </w:r>
      <w:r>
        <w:rPr>
          <w:rFonts w:asciiTheme="majorBidi" w:hAnsiTheme="majorBidi" w:cstheme="majorBidi"/>
          <w:color w:val="000000" w:themeColor="text1"/>
          <w:lang w:val="en-US"/>
        </w:rPr>
        <w:t xml:space="preserve"> I</w:t>
      </w:r>
      <w:r w:rsidRPr="00A87040">
        <w:rPr>
          <w:rFonts w:asciiTheme="majorBidi" w:hAnsiTheme="majorBidi" w:cstheme="majorBidi"/>
          <w:color w:val="000000" w:themeColor="text1"/>
          <w:lang w:val="en-US"/>
        </w:rPr>
        <w:t xml:space="preserve"> (interview)</w:t>
      </w:r>
      <w:r>
        <w:rPr>
          <w:rFonts w:asciiTheme="majorBidi" w:hAnsiTheme="majorBidi" w:cstheme="majorBidi"/>
          <w:color w:val="000000" w:themeColor="text1"/>
          <w:lang w:val="en-US"/>
        </w:rPr>
        <w:t xml:space="preserve">. </w:t>
      </w:r>
    </w:p>
  </w:footnote>
  <w:footnote w:id="295">
    <w:p w14:paraId="35A75569" w14:textId="5B4CF94B" w:rsidR="00D81F47" w:rsidRPr="00CB796C" w:rsidRDefault="00D81F47" w:rsidP="005B56D2">
      <w:pPr>
        <w:pStyle w:val="Funotentext"/>
        <w:rPr>
          <w:rFonts w:asciiTheme="majorBidi" w:hAnsiTheme="majorBidi" w:cstheme="majorBidi"/>
          <w:color w:val="000000" w:themeColor="text1"/>
          <w:lang w:val="en-US"/>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Federal Ministry of Justice (interview).</w:t>
      </w:r>
    </w:p>
  </w:footnote>
  <w:footnote w:id="296">
    <w:p w14:paraId="309D8CE0" w14:textId="2F2E18DE" w:rsidR="00D81F47" w:rsidRPr="0033147B" w:rsidRDefault="00D81F47" w:rsidP="005619EA">
      <w:pPr>
        <w:pStyle w:val="Funotentext"/>
        <w:rPr>
          <w:lang w:val="en-GB"/>
        </w:rPr>
      </w:pPr>
      <w:r>
        <w:rPr>
          <w:rStyle w:val="Funotenzeichen"/>
        </w:rPr>
        <w:footnoteRef/>
      </w:r>
      <w:r w:rsidRPr="0033147B">
        <w:rPr>
          <w:lang w:val="en-GB"/>
        </w:rPr>
        <w:t xml:space="preserve"> See the explanatory memorandum to the draft on the transposition of FD 2009/829/JHA into German law, Bundestags-Drucksache 18/4894, p. 18; Dornbusch, “§ 90y” in Grützner/Pötz/Kreß/Gazeas/Brodowski (Eds.), </w:t>
      </w:r>
      <w:r w:rsidRPr="0033147B">
        <w:rPr>
          <w:i/>
          <w:lang w:val="en-GB"/>
        </w:rPr>
        <w:t>Internationaler Rechtshilfeverkehr in Strafsachen</w:t>
      </w:r>
      <w:r w:rsidRPr="0033147B">
        <w:rPr>
          <w:lang w:val="en-GB"/>
        </w:rPr>
        <w:t>, 3rd ed. (5</w:t>
      </w:r>
      <w:r>
        <w:rPr>
          <w:lang w:val="en-GB"/>
        </w:rPr>
        <w:t>7</w:t>
      </w:r>
      <w:r w:rsidRPr="0033147B">
        <w:rPr>
          <w:lang w:val="en-GB"/>
        </w:rPr>
        <w:t>th instal</w:t>
      </w:r>
      <w:r>
        <w:rPr>
          <w:lang w:val="en-GB"/>
        </w:rPr>
        <w:t>l</w:t>
      </w:r>
      <w:r w:rsidRPr="0033147B">
        <w:rPr>
          <w:lang w:val="en-GB"/>
        </w:rPr>
        <w:t xml:space="preserve">ment, C.F. Müller, </w:t>
      </w:r>
      <w:r>
        <w:rPr>
          <w:lang w:val="en-GB"/>
        </w:rPr>
        <w:t>Jun</w:t>
      </w:r>
      <w:r w:rsidRPr="0033147B">
        <w:rPr>
          <w:lang w:val="en-GB"/>
        </w:rPr>
        <w:t>. 202</w:t>
      </w:r>
      <w:r>
        <w:rPr>
          <w:lang w:val="en-GB"/>
        </w:rPr>
        <w:t>4</w:t>
      </w:r>
      <w:r w:rsidRPr="0033147B">
        <w:rPr>
          <w:lang w:val="en-GB"/>
        </w:rPr>
        <w:t>), para. 2.</w:t>
      </w:r>
    </w:p>
  </w:footnote>
  <w:footnote w:id="297">
    <w:p w14:paraId="27322C8B" w14:textId="64B1C639" w:rsidR="00D81F47" w:rsidRPr="0033147B" w:rsidRDefault="00D81F47" w:rsidP="005619EA">
      <w:pPr>
        <w:pStyle w:val="Funotentext"/>
        <w:rPr>
          <w:lang w:val="en-GB"/>
        </w:rPr>
      </w:pPr>
      <w:r>
        <w:rPr>
          <w:rStyle w:val="Funotenzeichen"/>
        </w:rPr>
        <w:footnoteRef/>
      </w:r>
      <w:r w:rsidRPr="0033147B">
        <w:rPr>
          <w:lang w:val="en-GB"/>
        </w:rPr>
        <w:t xml:space="preserve"> See the explanatory memorandum to the draft on the transposition of FD 2009/829/JHA into German law, Bundestags-Drucksache 18/4894, p. 18, 59.</w:t>
      </w:r>
    </w:p>
  </w:footnote>
  <w:footnote w:id="298">
    <w:p w14:paraId="4AE388B1" w14:textId="73809D7A" w:rsidR="00D81F47" w:rsidRPr="0033147B" w:rsidRDefault="00D81F47" w:rsidP="005619EA">
      <w:pPr>
        <w:pStyle w:val="Funotentext"/>
        <w:rPr>
          <w:lang w:val="en-GB"/>
        </w:rPr>
      </w:pPr>
      <w:r>
        <w:rPr>
          <w:rStyle w:val="Funotenzeichen"/>
        </w:rPr>
        <w:footnoteRef/>
      </w:r>
      <w:r w:rsidRPr="00EE04F1">
        <w:rPr>
          <w:lang w:val="de-DE"/>
        </w:rPr>
        <w:t xml:space="preserve"> Dornbusch, “§ 90y” in Grützner/Pötz/Kreß/Gazeas/Brodowski (Eds.), </w:t>
      </w:r>
      <w:r w:rsidRPr="00EE04F1">
        <w:rPr>
          <w:i/>
          <w:lang w:val="de-DE"/>
        </w:rPr>
        <w:t>Internationaler Rechtshilfeverkehr in Strafsachen</w:t>
      </w:r>
      <w:r w:rsidRPr="00EE04F1">
        <w:rPr>
          <w:lang w:val="de-DE"/>
        </w:rPr>
        <w:t xml:space="preserve">, 3rd ed. </w:t>
      </w:r>
      <w:r w:rsidRPr="0033147B">
        <w:rPr>
          <w:lang w:val="en-GB"/>
        </w:rPr>
        <w:t>(5</w:t>
      </w:r>
      <w:r>
        <w:rPr>
          <w:lang w:val="en-GB"/>
        </w:rPr>
        <w:t>7</w:t>
      </w:r>
      <w:r w:rsidRPr="0033147B">
        <w:rPr>
          <w:lang w:val="en-GB"/>
        </w:rPr>
        <w:t>th instal</w:t>
      </w:r>
      <w:r>
        <w:rPr>
          <w:lang w:val="en-GB"/>
        </w:rPr>
        <w:t>l</w:t>
      </w:r>
      <w:r w:rsidRPr="0033147B">
        <w:rPr>
          <w:lang w:val="en-GB"/>
        </w:rPr>
        <w:t xml:space="preserve">ment, C.F. Müller, </w:t>
      </w:r>
      <w:r>
        <w:rPr>
          <w:lang w:val="en-GB"/>
        </w:rPr>
        <w:t>Jun</w:t>
      </w:r>
      <w:r w:rsidRPr="0033147B">
        <w:rPr>
          <w:lang w:val="en-GB"/>
        </w:rPr>
        <w:t>. 202</w:t>
      </w:r>
      <w:r>
        <w:rPr>
          <w:lang w:val="en-GB"/>
        </w:rPr>
        <w:t>4</w:t>
      </w:r>
      <w:r w:rsidRPr="0033147B">
        <w:rPr>
          <w:lang w:val="en-GB"/>
        </w:rPr>
        <w:t>), para. 2.</w:t>
      </w:r>
    </w:p>
  </w:footnote>
  <w:footnote w:id="299">
    <w:p w14:paraId="169513AD" w14:textId="45238352" w:rsidR="00D81F47" w:rsidRPr="00777A20" w:rsidRDefault="00D81F47" w:rsidP="003A1EB0">
      <w:pPr>
        <w:pStyle w:val="Funotentext"/>
        <w:jc w:val="both"/>
        <w:rPr>
          <w:lang w:val="en-GB"/>
        </w:rPr>
      </w:pPr>
      <w:r>
        <w:rPr>
          <w:rStyle w:val="Funotenzeichen"/>
        </w:rPr>
        <w:footnoteRef/>
      </w:r>
      <w:r w:rsidRPr="00777A20">
        <w:rPr>
          <w:lang w:val="en-GB"/>
        </w:rPr>
        <w:t xml:space="preserve"> </w:t>
      </w:r>
      <w:r w:rsidRPr="00DE69B4">
        <w:rPr>
          <w:lang w:val="en-GB"/>
        </w:rPr>
        <w:t>Please note that Denmark and Ireland are not bound by Directive 2014/41/EU. Please take on board whether this causes problems from the perspective of the “coherent and effective” application of the instruments.</w:t>
      </w:r>
    </w:p>
  </w:footnote>
  <w:footnote w:id="300">
    <w:p w14:paraId="52A2D37D" w14:textId="0E814D15" w:rsidR="00D81F47" w:rsidRPr="0057316B" w:rsidRDefault="00D81F47" w:rsidP="0057316B">
      <w:pPr>
        <w:pStyle w:val="Funotentext"/>
        <w:rPr>
          <w:lang w:val="en-US"/>
        </w:rPr>
      </w:pPr>
      <w:r>
        <w:rPr>
          <w:rStyle w:val="Funotenzeichen"/>
        </w:rPr>
        <w:footnoteRef/>
      </w:r>
      <w:r w:rsidRPr="0033147B">
        <w:rPr>
          <w:lang w:val="en-GB"/>
        </w:rPr>
        <w:t xml:space="preserve"> </w:t>
      </w:r>
      <w:r w:rsidRPr="00BC43FA">
        <w:rPr>
          <w:lang w:val="en-US"/>
        </w:rPr>
        <w:t xml:space="preserve">Federal Court of Justice, decision of </w:t>
      </w:r>
      <w:r>
        <w:rPr>
          <w:lang w:val="en-US"/>
        </w:rPr>
        <w:t xml:space="preserve">17 April 1959 – 4 ARs 1/59, 13 Official Court Reports (BGHSt) 97 (at 100); Graalmann-Scheerer, “§ 457” in Löwe-Rosenberg, </w:t>
      </w:r>
      <w:r>
        <w:rPr>
          <w:i/>
          <w:lang w:val="en-US"/>
        </w:rPr>
        <w:t>StPO – Band 10/1 - §§ 449-463e</w:t>
      </w:r>
      <w:r>
        <w:rPr>
          <w:lang w:val="en-US"/>
        </w:rPr>
        <w:t>, 27th ed. (de Gruyter, 2022), para 12.</w:t>
      </w:r>
    </w:p>
  </w:footnote>
  <w:footnote w:id="301">
    <w:p w14:paraId="7233AD79" w14:textId="1BAF1068" w:rsidR="00D81F47" w:rsidRPr="0033147B" w:rsidRDefault="00D81F47">
      <w:pPr>
        <w:pStyle w:val="Funotentext"/>
        <w:rPr>
          <w:lang w:val="en-GB"/>
        </w:rPr>
      </w:pPr>
      <w:r>
        <w:rPr>
          <w:rStyle w:val="Funotenzeichen"/>
        </w:rPr>
        <w:footnoteRef/>
      </w:r>
      <w:r w:rsidRPr="0033147B">
        <w:rPr>
          <w:lang w:val="en-GB"/>
        </w:rPr>
        <w:t xml:space="preserve"> </w:t>
      </w:r>
      <w:r w:rsidRPr="00A20951">
        <w:rPr>
          <w:lang w:val="en-US"/>
        </w:rPr>
        <w:t xml:space="preserve">See the explanatory memorandum on the act transposing </w:t>
      </w:r>
      <w:r>
        <w:rPr>
          <w:lang w:val="en-US"/>
        </w:rPr>
        <w:t xml:space="preserve">FD 2008/909/JHA and FD 2008/947/JHA, Bundestags-Drucksache 18/4347, p. </w:t>
      </w:r>
      <w:r w:rsidRPr="0033147B">
        <w:rPr>
          <w:lang w:val="en-GB"/>
        </w:rPr>
        <w:t>137, 186.</w:t>
      </w:r>
    </w:p>
  </w:footnote>
  <w:footnote w:id="302">
    <w:p w14:paraId="69627704" w14:textId="70AABF6F" w:rsidR="00D81F47" w:rsidRPr="00A20951" w:rsidRDefault="00D81F47">
      <w:pPr>
        <w:pStyle w:val="Funotentext"/>
        <w:rPr>
          <w:lang w:val="en-US"/>
        </w:rPr>
      </w:pPr>
      <w:r>
        <w:rPr>
          <w:rStyle w:val="Funotenzeichen"/>
        </w:rPr>
        <w:footnoteRef/>
      </w:r>
      <w:r w:rsidRPr="0033147B">
        <w:rPr>
          <w:lang w:val="en-GB"/>
        </w:rPr>
        <w:t xml:space="preserve"> </w:t>
      </w:r>
      <w:r w:rsidRPr="00A20951">
        <w:rPr>
          <w:lang w:val="en-US"/>
        </w:rPr>
        <w:t xml:space="preserve">See the explanatory memorandum on the act transposing </w:t>
      </w:r>
      <w:r>
        <w:rPr>
          <w:lang w:val="en-US"/>
        </w:rPr>
        <w:t>FD 2008/909/JHA and FD 2008/947/JHA, Bundestags-Drucksache 18/4347, p. 137 and 186.</w:t>
      </w:r>
    </w:p>
  </w:footnote>
  <w:footnote w:id="303">
    <w:p w14:paraId="1F619DCA" w14:textId="6279EAD9" w:rsidR="00D81F47" w:rsidRPr="004D1FC9" w:rsidRDefault="00D81F47">
      <w:pPr>
        <w:pStyle w:val="Funotentext"/>
        <w:rPr>
          <w:lang w:val="en-US"/>
        </w:rPr>
      </w:pPr>
      <w:r>
        <w:rPr>
          <w:rStyle w:val="Funotenzeichen"/>
        </w:rPr>
        <w:footnoteRef/>
      </w:r>
      <w:r w:rsidRPr="0033147B">
        <w:rPr>
          <w:lang w:val="en-GB"/>
        </w:rPr>
        <w:t xml:space="preserve"> Higher Regional Court Celle, decision of 11 July 2016 – 1 AR (Ausl) 53/16, (2016) </w:t>
      </w:r>
      <w:r w:rsidRPr="0033147B">
        <w:rPr>
          <w:i/>
          <w:lang w:val="en-GB"/>
        </w:rPr>
        <w:t>Strafverteidiger Forum</w:t>
      </w:r>
      <w:r>
        <w:rPr>
          <w:i/>
          <w:lang w:val="en-US"/>
        </w:rPr>
        <w:t>,</w:t>
      </w:r>
      <w:r w:rsidRPr="0033147B">
        <w:rPr>
          <w:i/>
          <w:lang w:val="en-GB"/>
        </w:rPr>
        <w:t xml:space="preserve"> </w:t>
      </w:r>
      <w:r w:rsidRPr="0033147B">
        <w:rPr>
          <w:lang w:val="en-GB"/>
        </w:rPr>
        <w:t>431 (</w:t>
      </w:r>
      <w:r>
        <w:rPr>
          <w:lang w:val="en-US"/>
        </w:rPr>
        <w:t xml:space="preserve">at </w:t>
      </w:r>
      <w:r w:rsidRPr="0033147B">
        <w:rPr>
          <w:lang w:val="en-GB"/>
        </w:rPr>
        <w:t>432); Hackner</w:t>
      </w:r>
      <w:r>
        <w:rPr>
          <w:lang w:val="en-US"/>
        </w:rPr>
        <w:t>,</w:t>
      </w:r>
      <w:r w:rsidRPr="0033147B">
        <w:rPr>
          <w:lang w:val="en-GB"/>
        </w:rPr>
        <w:t xml:space="preserve"> </w:t>
      </w:r>
      <w:r>
        <w:rPr>
          <w:lang w:val="en-US"/>
        </w:rPr>
        <w:t>“</w:t>
      </w:r>
      <w:r w:rsidRPr="00CB796C">
        <w:rPr>
          <w:lang w:val="en-US"/>
        </w:rPr>
        <w:t>§ 85</w:t>
      </w:r>
      <w:r>
        <w:rPr>
          <w:lang w:val="en-US"/>
        </w:rPr>
        <w:t>”</w:t>
      </w:r>
      <w:r w:rsidRPr="00CB796C">
        <w:rPr>
          <w:lang w:val="en-US"/>
        </w:rPr>
        <w:t xml:space="preserve"> in Schomburg/Lagodny, </w:t>
      </w:r>
      <w:r w:rsidRPr="00CB796C">
        <w:rPr>
          <w:i/>
          <w:lang w:val="en-US"/>
        </w:rPr>
        <w:t>Internationale Rechtshilfe in Strafsachen</w:t>
      </w:r>
      <w:r w:rsidRPr="00CB796C">
        <w:rPr>
          <w:lang w:val="en-US"/>
        </w:rPr>
        <w:t>, 6th ed</w:t>
      </w:r>
      <w:r>
        <w:rPr>
          <w:lang w:val="en-US"/>
        </w:rPr>
        <w:t>.</w:t>
      </w:r>
      <w:r w:rsidRPr="00CB796C">
        <w:rPr>
          <w:lang w:val="en-US"/>
        </w:rPr>
        <w:t xml:space="preserve"> (C.H. Beck, 2020), para 5.</w:t>
      </w:r>
    </w:p>
  </w:footnote>
  <w:footnote w:id="304">
    <w:p w14:paraId="5525ABA1" w14:textId="40DF4516" w:rsidR="00D81F47" w:rsidRPr="00353C2A" w:rsidRDefault="00D81F47" w:rsidP="003A1EB0">
      <w:pPr>
        <w:pStyle w:val="Funotentext"/>
        <w:jc w:val="both"/>
        <w:rPr>
          <w:lang w:val="en-GB"/>
        </w:rPr>
      </w:pPr>
      <w:r w:rsidRPr="00353C2A">
        <w:rPr>
          <w:rStyle w:val="Funotenzeichen"/>
          <w:rFonts w:eastAsiaTheme="majorEastAsia"/>
        </w:rPr>
        <w:footnoteRef/>
      </w:r>
      <w:r w:rsidRPr="00353C2A">
        <w:rPr>
          <w:lang w:val="en-GB"/>
        </w:rPr>
        <w:t xml:space="preserve"> </w:t>
      </w:r>
      <w:r w:rsidRPr="00E40716">
        <w:rPr>
          <w:i/>
          <w:lang w:val="en-GB"/>
        </w:rPr>
        <w:t>OJ</w:t>
      </w:r>
      <w:r w:rsidRPr="00353C2A">
        <w:rPr>
          <w:lang w:val="en-GB"/>
        </w:rPr>
        <w:t xml:space="preserve"> 2023, L 86/44.</w:t>
      </w:r>
    </w:p>
  </w:footnote>
  <w:footnote w:id="305">
    <w:p w14:paraId="21361941" w14:textId="77777777" w:rsidR="00D81F47" w:rsidRPr="00353C2A" w:rsidRDefault="00D81F47" w:rsidP="003A1EB0">
      <w:pPr>
        <w:pStyle w:val="Funotentext"/>
        <w:jc w:val="both"/>
        <w:rPr>
          <w:lang w:val="en-GB"/>
        </w:rPr>
      </w:pPr>
      <w:r w:rsidRPr="00353C2A">
        <w:rPr>
          <w:rStyle w:val="Funotenzeichen"/>
          <w:rFonts w:eastAsiaTheme="majorEastAsia"/>
        </w:rPr>
        <w:footnoteRef/>
      </w:r>
      <w:r w:rsidRPr="00353C2A">
        <w:rPr>
          <w:lang w:val="en-GB"/>
        </w:rPr>
        <w:t xml:space="preserve"> This might require thinking of different scenarios. For instance, what if the sought-after instrument for judicial cooperation does not result in the desired outcome? To what alternative form(s) of judicial cooperation will the issuing authority resort to? </w:t>
      </w:r>
    </w:p>
  </w:footnote>
  <w:footnote w:id="306">
    <w:p w14:paraId="50282E84" w14:textId="1FE19D89" w:rsidR="00D81F47" w:rsidRPr="00777A20" w:rsidRDefault="00D81F47" w:rsidP="003A1EB0">
      <w:pPr>
        <w:pStyle w:val="Funotentext"/>
        <w:jc w:val="both"/>
        <w:rPr>
          <w:lang w:val="en-GB"/>
        </w:rPr>
      </w:pPr>
      <w:r>
        <w:rPr>
          <w:rStyle w:val="Funotenzeichen"/>
        </w:rPr>
        <w:footnoteRef/>
      </w:r>
      <w:r w:rsidRPr="00777A20">
        <w:rPr>
          <w:lang w:val="en-GB"/>
        </w:rPr>
        <w:t xml:space="preserve"> I</w:t>
      </w:r>
      <w:r>
        <w:rPr>
          <w:lang w:val="en-GB"/>
        </w:rPr>
        <w:t xml:space="preserve">n the Netherlands, e.g., the courts can impose the following sentence: a sentence of four years deprivation of liberty, of which two years will not be enforced as long as the person concerned complies with certain conditions during a probation period of three years.    </w:t>
      </w:r>
    </w:p>
  </w:footnote>
  <w:footnote w:id="307">
    <w:p w14:paraId="3562BAC2" w14:textId="74B561E0" w:rsidR="00D81F47" w:rsidRPr="00CB796C" w:rsidRDefault="00D81F47" w:rsidP="00B04C6E">
      <w:pPr>
        <w:pStyle w:val="Funotentext"/>
        <w:rPr>
          <w:rFonts w:asciiTheme="majorBidi" w:hAnsiTheme="majorBidi" w:cstheme="majorBidi"/>
          <w:color w:val="000000" w:themeColor="text1"/>
          <w:lang w:val="en-US"/>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 xml:space="preserve">Public Prosecutor’s Office </w:t>
      </w:r>
      <w:r>
        <w:rPr>
          <w:rFonts w:asciiTheme="majorBidi" w:hAnsiTheme="majorBidi" w:cstheme="majorBidi"/>
          <w:color w:val="000000" w:themeColor="text1"/>
          <w:lang w:val="en-US"/>
        </w:rPr>
        <w:t>III</w:t>
      </w:r>
      <w:r w:rsidRPr="00A87040">
        <w:rPr>
          <w:rFonts w:asciiTheme="majorBidi" w:hAnsiTheme="majorBidi" w:cstheme="majorBidi"/>
          <w:color w:val="000000" w:themeColor="text1"/>
          <w:lang w:val="en-US"/>
        </w:rPr>
        <w:t xml:space="preserve"> (interview).</w:t>
      </w:r>
    </w:p>
  </w:footnote>
  <w:footnote w:id="308">
    <w:p w14:paraId="264A0111" w14:textId="3C5F2E3D" w:rsidR="00D81F47" w:rsidRPr="00CB796C" w:rsidRDefault="00D81F47" w:rsidP="00830885">
      <w:pPr>
        <w:pStyle w:val="Funotentext"/>
        <w:rPr>
          <w:rFonts w:asciiTheme="majorBidi" w:hAnsiTheme="majorBidi" w:cstheme="majorBidi"/>
          <w:color w:val="000000" w:themeColor="text1"/>
          <w:lang w:val="en-US"/>
        </w:rPr>
      </w:pPr>
      <w:r>
        <w:rPr>
          <w:rStyle w:val="Funotenzeichen"/>
        </w:rPr>
        <w:footnoteRef/>
      </w:r>
      <w:r w:rsidRPr="0033147B">
        <w:rPr>
          <w:lang w:val="en-GB"/>
        </w:rPr>
        <w:t xml:space="preserve"> District Court (interview); </w:t>
      </w:r>
      <w:r w:rsidRPr="00A87040">
        <w:rPr>
          <w:rFonts w:asciiTheme="majorBidi" w:hAnsiTheme="majorBidi" w:cstheme="majorBidi"/>
          <w:color w:val="000000" w:themeColor="text1"/>
          <w:lang w:val="en-US"/>
        </w:rPr>
        <w:t>Office of the Prosecutor General (interview)</w:t>
      </w:r>
      <w:r w:rsidRPr="0033147B">
        <w:rPr>
          <w:lang w:val="en-GB"/>
        </w:rPr>
        <w:t xml:space="preserve">; </w:t>
      </w:r>
      <w:r w:rsidRPr="00A87040">
        <w:rPr>
          <w:rFonts w:asciiTheme="majorBidi" w:hAnsiTheme="majorBidi" w:cstheme="majorBidi"/>
          <w:color w:val="000000" w:themeColor="text1"/>
          <w:lang w:val="en-US"/>
        </w:rPr>
        <w:t xml:space="preserve">Public Prosecutor’s Office </w:t>
      </w:r>
      <w:r>
        <w:rPr>
          <w:rFonts w:asciiTheme="majorBidi" w:hAnsiTheme="majorBidi" w:cstheme="majorBidi"/>
          <w:color w:val="000000" w:themeColor="text1"/>
          <w:lang w:val="en-US"/>
        </w:rPr>
        <w:t>III</w:t>
      </w:r>
      <w:r w:rsidRPr="00A87040">
        <w:rPr>
          <w:rFonts w:asciiTheme="majorBidi" w:hAnsiTheme="majorBidi" w:cstheme="majorBidi"/>
          <w:color w:val="000000" w:themeColor="text1"/>
          <w:lang w:val="en-US"/>
        </w:rPr>
        <w:t xml:space="preserve"> (interview);</w:t>
      </w:r>
      <w:r>
        <w:rPr>
          <w:rFonts w:asciiTheme="majorBidi" w:hAnsiTheme="majorBidi" w:cstheme="majorBidi"/>
          <w:color w:val="000000" w:themeColor="text1"/>
          <w:lang w:val="en-US"/>
        </w:rPr>
        <w:t xml:space="preserve"> </w:t>
      </w:r>
      <w:r>
        <w:rPr>
          <w:lang w:val="en-GB"/>
        </w:rPr>
        <w:t>State’s</w:t>
      </w:r>
      <w:r w:rsidDel="00687C1B">
        <w:rPr>
          <w:rFonts w:asciiTheme="majorBidi" w:hAnsiTheme="majorBidi" w:cstheme="majorBidi"/>
          <w:color w:val="000000" w:themeColor="text1"/>
          <w:lang w:val="en-US"/>
        </w:rPr>
        <w:t xml:space="preserve"> </w:t>
      </w:r>
      <w:r w:rsidRPr="00A87040">
        <w:rPr>
          <w:rFonts w:asciiTheme="majorBidi" w:hAnsiTheme="majorBidi" w:cstheme="majorBidi"/>
          <w:color w:val="000000" w:themeColor="text1"/>
          <w:lang w:val="en-US"/>
        </w:rPr>
        <w:t>Ministry of Justice (interview).</w:t>
      </w:r>
    </w:p>
  </w:footnote>
  <w:footnote w:id="309">
    <w:p w14:paraId="4F6CDC94" w14:textId="450965DE" w:rsidR="00D81F47" w:rsidRPr="00CB796C" w:rsidRDefault="00D81F47" w:rsidP="00DD3F22">
      <w:pPr>
        <w:pStyle w:val="Funotentext"/>
        <w:rPr>
          <w:rFonts w:asciiTheme="majorBidi" w:hAnsiTheme="majorBidi" w:cstheme="majorBidi"/>
          <w:color w:val="000000" w:themeColor="text1"/>
          <w:lang w:val="en-US"/>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Federal Ministry of Justice (interview).</w:t>
      </w:r>
      <w:r>
        <w:rPr>
          <w:rFonts w:asciiTheme="majorBidi" w:hAnsiTheme="majorBidi" w:cstheme="majorBidi"/>
          <w:color w:val="000000" w:themeColor="text1"/>
          <w:lang w:val="en-US"/>
        </w:rPr>
        <w:t xml:space="preserve"> </w:t>
      </w:r>
    </w:p>
  </w:footnote>
  <w:footnote w:id="310">
    <w:p w14:paraId="179D53DE" w14:textId="2A7D9E6C" w:rsidR="00D81F47" w:rsidRPr="0033147B" w:rsidRDefault="00D81F47">
      <w:pPr>
        <w:pStyle w:val="Funotentext"/>
        <w:rPr>
          <w:lang w:val="en-GB"/>
        </w:rPr>
      </w:pPr>
      <w:r>
        <w:rPr>
          <w:rStyle w:val="Funotenzeichen"/>
        </w:rPr>
        <w:footnoteRef/>
      </w:r>
      <w:r w:rsidRPr="0033147B">
        <w:rPr>
          <w:lang w:val="en-GB"/>
        </w:rPr>
        <w:t xml:space="preserve"> Defence Lawyer </w:t>
      </w:r>
      <w:r>
        <w:rPr>
          <w:lang w:val="en-GB"/>
        </w:rPr>
        <w:t>I</w:t>
      </w:r>
      <w:r w:rsidRPr="0033147B">
        <w:rPr>
          <w:lang w:val="en-GB"/>
        </w:rPr>
        <w:t>II (interview).</w:t>
      </w:r>
    </w:p>
  </w:footnote>
  <w:footnote w:id="311">
    <w:p w14:paraId="1FFEFD4B" w14:textId="4F70A09E" w:rsidR="00D81F47" w:rsidRPr="008A4075" w:rsidRDefault="00D81F47">
      <w:pPr>
        <w:pStyle w:val="Funotentext"/>
        <w:rPr>
          <w:lang w:val="en-US"/>
        </w:rPr>
      </w:pPr>
      <w:r>
        <w:rPr>
          <w:rStyle w:val="Funotenzeichen"/>
        </w:rPr>
        <w:footnoteRef/>
      </w:r>
      <w:r w:rsidRPr="0033147B">
        <w:rPr>
          <w:lang w:val="en-GB"/>
        </w:rPr>
        <w:t xml:space="preserve"> Evaluation Report on Germany on the 9th round of mutual evaluations. Council-Document 7960/1/20 REV 1, p. 94.</w:t>
      </w:r>
    </w:p>
  </w:footnote>
  <w:footnote w:id="312">
    <w:p w14:paraId="5948B0BE" w14:textId="71357DFB" w:rsidR="00D81F47" w:rsidRPr="0033147B" w:rsidRDefault="00D81F47" w:rsidP="00B867EB">
      <w:pPr>
        <w:pStyle w:val="Funotentext"/>
        <w:rPr>
          <w:lang w:val="en-GB"/>
        </w:rPr>
      </w:pPr>
      <w:r>
        <w:rPr>
          <w:rStyle w:val="Funotenzeichen"/>
        </w:rPr>
        <w:footnoteRef/>
      </w:r>
      <w:r w:rsidRPr="0033147B">
        <w:rPr>
          <w:lang w:val="en-GB"/>
        </w:rPr>
        <w:t xml:space="preserve"> CJEU, Judgment of 26 March 2020 – Case C-2/19</w:t>
      </w:r>
      <w:r w:rsidRPr="0033147B">
        <w:rPr>
          <w:i/>
          <w:iCs/>
          <w:lang w:val="en-GB"/>
        </w:rPr>
        <w:t>, A</w:t>
      </w:r>
      <w:r w:rsidRPr="0033147B">
        <w:rPr>
          <w:rFonts w:asciiTheme="majorBidi" w:hAnsiTheme="majorBidi" w:cstheme="majorBidi"/>
          <w:i/>
          <w:iCs/>
          <w:color w:val="000000" w:themeColor="text1"/>
          <w:lang w:val="en-GB"/>
        </w:rPr>
        <w:t>.P.</w:t>
      </w:r>
      <w:r w:rsidRPr="0033147B">
        <w:rPr>
          <w:rFonts w:asciiTheme="majorBidi" w:hAnsiTheme="majorBidi" w:cstheme="majorBidi"/>
          <w:i/>
          <w:iCs/>
          <w:color w:val="000000" w:themeColor="text1"/>
          <w:shd w:val="clear" w:color="auto" w:fill="FFFFFF"/>
          <w:lang w:val="en-GB"/>
        </w:rPr>
        <w:t>,</w:t>
      </w:r>
      <w:r w:rsidRPr="0033147B">
        <w:rPr>
          <w:rFonts w:asciiTheme="majorBidi" w:hAnsiTheme="majorBidi" w:cstheme="majorBidi"/>
          <w:color w:val="000000" w:themeColor="text1"/>
          <w:shd w:val="clear" w:color="auto" w:fill="FFFFFF"/>
          <w:lang w:val="en-GB"/>
        </w:rPr>
        <w:t xml:space="preserve"> EU:C:2020:237</w:t>
      </w:r>
      <w:r w:rsidRPr="0033147B">
        <w:rPr>
          <w:rFonts w:asciiTheme="majorBidi" w:hAnsiTheme="majorBidi" w:cstheme="majorBidi"/>
          <w:color w:val="000000" w:themeColor="text1"/>
          <w:lang w:val="en-GB"/>
        </w:rPr>
        <w:t>.</w:t>
      </w:r>
    </w:p>
  </w:footnote>
  <w:footnote w:id="313">
    <w:p w14:paraId="36C5A16F" w14:textId="1D5F2CCF" w:rsidR="00D81F47" w:rsidRPr="001F1C80" w:rsidRDefault="00D81F47">
      <w:pPr>
        <w:pStyle w:val="Funotentext"/>
        <w:rPr>
          <w:lang w:val="en-US"/>
        </w:rPr>
      </w:pPr>
      <w:r>
        <w:rPr>
          <w:rStyle w:val="Funotenzeichen"/>
        </w:rPr>
        <w:footnoteRef/>
      </w:r>
      <w:r w:rsidRPr="0033147B">
        <w:rPr>
          <w:lang w:val="en-GB"/>
        </w:rPr>
        <w:t xml:space="preserve"> </w:t>
      </w:r>
      <w:r w:rsidRPr="001F1C80">
        <w:rPr>
          <w:lang w:val="en-US"/>
        </w:rPr>
        <w:t xml:space="preserve">CJEU (GC), </w:t>
      </w:r>
      <w:r>
        <w:rPr>
          <w:lang w:val="en-US"/>
        </w:rPr>
        <w:t>J</w:t>
      </w:r>
      <w:r w:rsidRPr="001F1C80">
        <w:rPr>
          <w:lang w:val="en-US"/>
        </w:rPr>
        <w:t xml:space="preserve">udgment of </w:t>
      </w:r>
      <w:r w:rsidRPr="0033147B">
        <w:rPr>
          <w:lang w:val="en-GB"/>
        </w:rPr>
        <w:t xml:space="preserve">27 May 2014 – Case C-129/14 PPU, </w:t>
      </w:r>
      <w:r w:rsidRPr="0033147B">
        <w:rPr>
          <w:i/>
          <w:iCs/>
          <w:lang w:val="en-GB"/>
        </w:rPr>
        <w:t>Zoran Spasic</w:t>
      </w:r>
      <w:r w:rsidRPr="0033147B">
        <w:rPr>
          <w:lang w:val="en-GB"/>
        </w:rPr>
        <w:t>,</w:t>
      </w:r>
      <w:r w:rsidRPr="0033147B">
        <w:rPr>
          <w:rFonts w:ascii="Open Sans" w:hAnsi="Open Sans" w:cs="Open Sans"/>
          <w:b/>
          <w:bCs/>
          <w:color w:val="5F5F5F"/>
          <w:lang w:val="en-GB"/>
        </w:rPr>
        <w:t xml:space="preserve"> </w:t>
      </w:r>
      <w:r w:rsidRPr="0033147B">
        <w:rPr>
          <w:rFonts w:asciiTheme="majorBidi" w:hAnsiTheme="majorBidi" w:cstheme="majorBidi"/>
          <w:color w:val="000000" w:themeColor="text1"/>
          <w:lang w:val="en-GB"/>
        </w:rPr>
        <w:t>EU:C:2014:586.</w:t>
      </w:r>
    </w:p>
  </w:footnote>
  <w:footnote w:id="314">
    <w:p w14:paraId="2E128E54" w14:textId="506A2E4A" w:rsidR="00D81F47" w:rsidRPr="0033147B" w:rsidRDefault="00D81F47" w:rsidP="00403352">
      <w:pPr>
        <w:pStyle w:val="Funotentext"/>
        <w:rPr>
          <w:lang w:val="en-GB"/>
        </w:rPr>
      </w:pPr>
      <w:r>
        <w:rPr>
          <w:rStyle w:val="Funotenzeichen"/>
        </w:rPr>
        <w:footnoteRef/>
      </w:r>
      <w:r w:rsidRPr="0033147B">
        <w:rPr>
          <w:lang w:val="en-GB"/>
        </w:rPr>
        <w:t xml:space="preserve"> See e.g. Art. XI(4) of the bilateral treaty with the Kingdom of the Netherlands of 30 August 1979, Bundesgesetzblatt 1981 II</w:t>
      </w:r>
      <w:r>
        <w:rPr>
          <w:lang w:val="en-US"/>
        </w:rPr>
        <w:t>,</w:t>
      </w:r>
      <w:r w:rsidRPr="0033147B">
        <w:rPr>
          <w:lang w:val="en-GB"/>
        </w:rPr>
        <w:t xml:space="preserve"> p. 1158. Germany has concluded similar treaties with Austria, France, Italy, the Czech Republic and the former Yugosla</w:t>
      </w:r>
      <w:r>
        <w:rPr>
          <w:lang w:val="en-GB"/>
        </w:rPr>
        <w:t>v</w:t>
      </w:r>
      <w:r w:rsidRPr="0033147B">
        <w:rPr>
          <w:lang w:val="en-GB"/>
        </w:rPr>
        <w:t>ia (Croatia, Slo</w:t>
      </w:r>
      <w:r>
        <w:rPr>
          <w:lang w:val="en-GB"/>
        </w:rPr>
        <w:t>v</w:t>
      </w:r>
      <w:r w:rsidRPr="0033147B">
        <w:rPr>
          <w:lang w:val="en-GB"/>
        </w:rPr>
        <w:t xml:space="preserve">enia), see Böse, </w:t>
      </w:r>
      <w:r w:rsidRPr="0033147B">
        <w:rPr>
          <w:i/>
          <w:lang w:val="en-GB"/>
        </w:rPr>
        <w:t>Übertragung und Übernahme der Strafverfolgung</w:t>
      </w:r>
      <w:r w:rsidRPr="0033147B">
        <w:rPr>
          <w:lang w:val="en-GB"/>
        </w:rPr>
        <w:t xml:space="preserve"> </w:t>
      </w:r>
      <w:r>
        <w:rPr>
          <w:lang w:val="en-US"/>
        </w:rPr>
        <w:t>(</w:t>
      </w:r>
      <w:r w:rsidRPr="0033147B">
        <w:rPr>
          <w:lang w:val="en-GB"/>
        </w:rPr>
        <w:t>Nomos</w:t>
      </w:r>
      <w:r>
        <w:rPr>
          <w:lang w:val="en-US"/>
        </w:rPr>
        <w:t>,</w:t>
      </w:r>
      <w:r w:rsidRPr="0033147B">
        <w:rPr>
          <w:lang w:val="en-GB"/>
        </w:rPr>
        <w:t xml:space="preserve"> 2023</w:t>
      </w:r>
      <w:r>
        <w:rPr>
          <w:lang w:val="en-US"/>
        </w:rPr>
        <w:t>)</w:t>
      </w:r>
      <w:r w:rsidRPr="0033147B">
        <w:rPr>
          <w:lang w:val="en-GB"/>
        </w:rPr>
        <w:t>, p. 34-35, with further references.</w:t>
      </w:r>
    </w:p>
  </w:footnote>
  <w:footnote w:id="315">
    <w:p w14:paraId="401BBF9D" w14:textId="2F33ABC0" w:rsidR="00D81F47" w:rsidRPr="00CB796C" w:rsidRDefault="00D81F47">
      <w:pPr>
        <w:pStyle w:val="Funotentext"/>
        <w:rPr>
          <w:lang w:val="de-DE"/>
        </w:rPr>
      </w:pPr>
      <w:r>
        <w:rPr>
          <w:rStyle w:val="Funotenzeichen"/>
        </w:rPr>
        <w:footnoteRef/>
      </w:r>
      <w:r w:rsidRPr="00EE04F1">
        <w:rPr>
          <w:lang w:val="de-DE"/>
        </w:rPr>
        <w:t xml:space="preserve"> Frister</w:t>
      </w:r>
      <w:r w:rsidRPr="00CB796C">
        <w:rPr>
          <w:lang w:val="de-DE"/>
        </w:rPr>
        <w:t>,</w:t>
      </w:r>
      <w:r w:rsidRPr="00EE04F1">
        <w:rPr>
          <w:lang w:val="de-DE"/>
        </w:rPr>
        <w:t xml:space="preserve"> </w:t>
      </w:r>
      <w:r w:rsidRPr="00CB796C">
        <w:rPr>
          <w:lang w:val="de-DE"/>
        </w:rPr>
        <w:t xml:space="preserve">“§ 54” in Kindhäuser/Neumann/Paeffgen/Saliger (Eds), </w:t>
      </w:r>
      <w:r w:rsidRPr="00CB796C">
        <w:rPr>
          <w:i/>
          <w:lang w:val="de-DE"/>
        </w:rPr>
        <w:t>Nomos Kommentar StGB</w:t>
      </w:r>
      <w:r w:rsidRPr="00CB796C">
        <w:rPr>
          <w:lang w:val="de-DE"/>
        </w:rPr>
        <w:t>, 6th ed. (Nomos, 2023), para 27, with further references.</w:t>
      </w:r>
    </w:p>
  </w:footnote>
  <w:footnote w:id="316">
    <w:p w14:paraId="0D7EF7CA" w14:textId="5484A0E6" w:rsidR="00D81F47" w:rsidRPr="00CB796C" w:rsidRDefault="00D81F47">
      <w:pPr>
        <w:pStyle w:val="Funotentext"/>
        <w:rPr>
          <w:lang w:val="de-DE"/>
        </w:rPr>
      </w:pPr>
      <w:r>
        <w:rPr>
          <w:rStyle w:val="Funotenzeichen"/>
        </w:rPr>
        <w:footnoteRef/>
      </w:r>
      <w:r w:rsidRPr="00EE04F1">
        <w:rPr>
          <w:lang w:val="de-DE"/>
        </w:rPr>
        <w:t xml:space="preserve"> Higher Regional Court Karlsruhe, decision of 31 January 2017 – 1 Ws 235/16, (2018) </w:t>
      </w:r>
      <w:r w:rsidRPr="00EE04F1">
        <w:rPr>
          <w:i/>
          <w:lang w:val="de-DE"/>
        </w:rPr>
        <w:t>Strafverteidiger</w:t>
      </w:r>
      <w:r w:rsidRPr="00CB796C">
        <w:rPr>
          <w:i/>
          <w:lang w:val="de-DE"/>
        </w:rPr>
        <w:t>,</w:t>
      </w:r>
      <w:r w:rsidRPr="00EE04F1">
        <w:rPr>
          <w:i/>
          <w:lang w:val="de-DE"/>
        </w:rPr>
        <w:t xml:space="preserve"> </w:t>
      </w:r>
      <w:r w:rsidRPr="00EE04F1">
        <w:rPr>
          <w:lang w:val="de-DE"/>
        </w:rPr>
        <w:t>576 (</w:t>
      </w:r>
      <w:r w:rsidRPr="00CB796C">
        <w:rPr>
          <w:lang w:val="de-DE"/>
        </w:rPr>
        <w:t xml:space="preserve">at </w:t>
      </w:r>
      <w:r w:rsidRPr="00EE04F1">
        <w:rPr>
          <w:lang w:val="de-DE"/>
        </w:rPr>
        <w:t xml:space="preserve">577); </w:t>
      </w:r>
      <w:r w:rsidRPr="000664F5">
        <w:rPr>
          <w:lang w:val="de-DE"/>
        </w:rPr>
        <w:t>Böse,</w:t>
      </w:r>
      <w:r>
        <w:rPr>
          <w:lang w:val="de-DE"/>
        </w:rPr>
        <w:t xml:space="preserve"> </w:t>
      </w:r>
      <w:r w:rsidRPr="000664F5">
        <w:rPr>
          <w:lang w:val="de-DE"/>
        </w:rPr>
        <w:t xml:space="preserve">“§ 84a” in Grützner/Pötz/Kreß/Gazeas/Brodowski (Eds.), </w:t>
      </w:r>
      <w:r w:rsidRPr="000664F5">
        <w:rPr>
          <w:i/>
          <w:lang w:val="de-DE"/>
        </w:rPr>
        <w:t>Internationaler Rechtshilfeverkehr in Strafsachen</w:t>
      </w:r>
      <w:r w:rsidRPr="000664F5">
        <w:rPr>
          <w:lang w:val="de-DE"/>
        </w:rPr>
        <w:t>, 3rd ed. (5</w:t>
      </w:r>
      <w:r>
        <w:rPr>
          <w:lang w:val="de-DE"/>
        </w:rPr>
        <w:t>7</w:t>
      </w:r>
      <w:r w:rsidRPr="000664F5">
        <w:rPr>
          <w:lang w:val="de-DE"/>
        </w:rPr>
        <w:t xml:space="preserve">th installment, C.F. Müller, </w:t>
      </w:r>
      <w:r>
        <w:rPr>
          <w:lang w:val="de-DE"/>
        </w:rPr>
        <w:t>Jun</w:t>
      </w:r>
      <w:r w:rsidRPr="000664F5">
        <w:rPr>
          <w:lang w:val="de-DE"/>
        </w:rPr>
        <w:t>.</w:t>
      </w:r>
      <w:r>
        <w:rPr>
          <w:lang w:val="de-DE"/>
        </w:rPr>
        <w:t xml:space="preserve"> </w:t>
      </w:r>
      <w:r w:rsidRPr="000664F5">
        <w:rPr>
          <w:lang w:val="de-DE"/>
        </w:rPr>
        <w:t>202</w:t>
      </w:r>
      <w:r>
        <w:rPr>
          <w:lang w:val="de-DE"/>
        </w:rPr>
        <w:t>4</w:t>
      </w:r>
      <w:r w:rsidRPr="000664F5">
        <w:rPr>
          <w:lang w:val="de-DE"/>
        </w:rPr>
        <w:t xml:space="preserve">), para. </w:t>
      </w:r>
      <w:r>
        <w:rPr>
          <w:lang w:val="de-DE"/>
        </w:rPr>
        <w:t xml:space="preserve">4; </w:t>
      </w:r>
      <w:r w:rsidRPr="00EE04F1">
        <w:rPr>
          <w:lang w:val="de-DE"/>
        </w:rPr>
        <w:t>Böse</w:t>
      </w:r>
      <w:r w:rsidRPr="00CB796C">
        <w:rPr>
          <w:lang w:val="de-DE"/>
        </w:rPr>
        <w:t>,</w:t>
      </w:r>
      <w:r w:rsidRPr="00EE04F1">
        <w:rPr>
          <w:lang w:val="de-DE"/>
        </w:rPr>
        <w:t xml:space="preserve"> </w:t>
      </w:r>
      <w:r w:rsidRPr="00CB796C">
        <w:rPr>
          <w:lang w:val="de-DE"/>
        </w:rPr>
        <w:t xml:space="preserve">“§ 84g” in Grützner/Pötz/Kreß/Gazeas/Brodowski (Eds), </w:t>
      </w:r>
      <w:r w:rsidRPr="00CB796C">
        <w:rPr>
          <w:i/>
          <w:lang w:val="de-DE"/>
        </w:rPr>
        <w:t>Internationaler Rechtshilfeverkehr in Strafsachen</w:t>
      </w:r>
      <w:r w:rsidRPr="00CB796C">
        <w:rPr>
          <w:lang w:val="de-DE"/>
        </w:rPr>
        <w:t xml:space="preserve"> 3rd ed. (</w:t>
      </w:r>
      <w:r>
        <w:rPr>
          <w:lang w:val="de-DE"/>
        </w:rPr>
        <w:t>57</w:t>
      </w:r>
      <w:r w:rsidRPr="00CB796C">
        <w:rPr>
          <w:lang w:val="de-DE"/>
        </w:rPr>
        <w:t>th instal</w:t>
      </w:r>
      <w:r>
        <w:rPr>
          <w:lang w:val="de-DE"/>
        </w:rPr>
        <w:t>l</w:t>
      </w:r>
      <w:r w:rsidRPr="00CB796C">
        <w:rPr>
          <w:lang w:val="de-DE"/>
        </w:rPr>
        <w:t xml:space="preserve">ment, </w:t>
      </w:r>
      <w:r>
        <w:rPr>
          <w:lang w:val="de-DE"/>
        </w:rPr>
        <w:t>Jun</w:t>
      </w:r>
      <w:r w:rsidRPr="00CB796C">
        <w:rPr>
          <w:lang w:val="de-DE"/>
        </w:rPr>
        <w:t>. 20</w:t>
      </w:r>
      <w:r>
        <w:rPr>
          <w:lang w:val="de-DE"/>
        </w:rPr>
        <w:t>24</w:t>
      </w:r>
      <w:r w:rsidRPr="00CB796C">
        <w:rPr>
          <w:lang w:val="de-DE"/>
        </w:rPr>
        <w:t>), para 12,</w:t>
      </w:r>
      <w:r>
        <w:rPr>
          <w:lang w:val="de-DE"/>
        </w:rPr>
        <w:t xml:space="preserve"> </w:t>
      </w:r>
      <w:r w:rsidRPr="00CB796C">
        <w:rPr>
          <w:lang w:val="de-DE"/>
        </w:rPr>
        <w:t>25; Hackner,</w:t>
      </w:r>
      <w:r w:rsidRPr="00EE04F1">
        <w:rPr>
          <w:lang w:val="de-DE"/>
        </w:rPr>
        <w:t xml:space="preserve"> </w:t>
      </w:r>
      <w:r w:rsidRPr="00CB796C">
        <w:rPr>
          <w:lang w:val="de-DE"/>
        </w:rPr>
        <w:t>“§84a” in Schomburg/Lagodny (Eds.)</w:t>
      </w:r>
      <w:r w:rsidRPr="00EE04F1">
        <w:rPr>
          <w:lang w:val="de-DE"/>
        </w:rPr>
        <w:t xml:space="preserve">, </w:t>
      </w:r>
      <w:r w:rsidRPr="00EE04F1">
        <w:rPr>
          <w:i/>
          <w:lang w:val="de-DE"/>
        </w:rPr>
        <w:t>Internationale Rechtshilfe in Strafsachen</w:t>
      </w:r>
      <w:r w:rsidRPr="00EE04F1">
        <w:rPr>
          <w:lang w:val="de-DE"/>
        </w:rPr>
        <w:t>, 6th ed</w:t>
      </w:r>
      <w:r w:rsidRPr="00CB796C">
        <w:rPr>
          <w:lang w:val="de-DE"/>
        </w:rPr>
        <w:t>. (C.H. Beck, 2020), para 4.</w:t>
      </w:r>
    </w:p>
  </w:footnote>
  <w:footnote w:id="317">
    <w:p w14:paraId="3C0781F5" w14:textId="1F353ACA" w:rsidR="00D81F47" w:rsidRPr="00777A20" w:rsidRDefault="00D81F47" w:rsidP="003A1EB0">
      <w:pPr>
        <w:pStyle w:val="Funotentext"/>
        <w:jc w:val="both"/>
        <w:rPr>
          <w:lang w:val="en-GB"/>
        </w:rPr>
      </w:pPr>
      <w:r>
        <w:rPr>
          <w:rStyle w:val="Funotenzeichen"/>
        </w:rPr>
        <w:footnoteRef/>
      </w:r>
      <w:r w:rsidRPr="00777A20">
        <w:rPr>
          <w:lang w:val="en-GB"/>
        </w:rPr>
        <w:t xml:space="preserve"> </w:t>
      </w:r>
      <w:r>
        <w:rPr>
          <w:lang w:val="en-GB"/>
        </w:rPr>
        <w:t xml:space="preserve">As the person concerned is present in the </w:t>
      </w:r>
      <w:r w:rsidRPr="00777A20">
        <w:rPr>
          <w:i/>
          <w:iCs/>
          <w:lang w:val="en-GB"/>
        </w:rPr>
        <w:t>issuing</w:t>
      </w:r>
      <w:r>
        <w:rPr>
          <w:lang w:val="en-GB"/>
        </w:rPr>
        <w:t xml:space="preserve"> MS, enforcement in the </w:t>
      </w:r>
      <w:r w:rsidRPr="00777A20">
        <w:rPr>
          <w:i/>
          <w:iCs/>
          <w:lang w:val="en-GB"/>
        </w:rPr>
        <w:t>issuing</w:t>
      </w:r>
      <w:r>
        <w:rPr>
          <w:lang w:val="en-GB"/>
        </w:rPr>
        <w:t xml:space="preserve"> MS does not require judicial cooperation. </w:t>
      </w:r>
    </w:p>
  </w:footnote>
  <w:footnote w:id="318">
    <w:p w14:paraId="5F3B4E71" w14:textId="7621BAF8" w:rsidR="00D81F47" w:rsidRPr="00CB796C" w:rsidRDefault="00D81F47" w:rsidP="0016534E">
      <w:pPr>
        <w:pStyle w:val="Funotentext"/>
        <w:rPr>
          <w:rFonts w:asciiTheme="majorBidi" w:hAnsiTheme="majorBidi" w:cstheme="majorBidi"/>
          <w:color w:val="000000" w:themeColor="text1"/>
          <w:lang w:val="en-US"/>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Federal Ministry of Justice (interview).</w:t>
      </w:r>
    </w:p>
  </w:footnote>
  <w:footnote w:id="319">
    <w:p w14:paraId="714EA19D" w14:textId="59A5A90B" w:rsidR="00D81F47" w:rsidRPr="0033147B" w:rsidRDefault="00D81F47">
      <w:pPr>
        <w:pStyle w:val="Funotentext"/>
        <w:rPr>
          <w:lang w:val="en-GB"/>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 xml:space="preserve">Public Prosecutor’s Office </w:t>
      </w:r>
      <w:r>
        <w:rPr>
          <w:rFonts w:asciiTheme="majorBidi" w:hAnsiTheme="majorBidi" w:cstheme="majorBidi"/>
          <w:color w:val="000000" w:themeColor="text1"/>
          <w:lang w:val="en-US"/>
        </w:rPr>
        <w:t>I</w:t>
      </w:r>
      <w:r w:rsidRPr="00A87040">
        <w:rPr>
          <w:rFonts w:asciiTheme="majorBidi" w:hAnsiTheme="majorBidi" w:cstheme="majorBidi"/>
          <w:color w:val="000000" w:themeColor="text1"/>
          <w:lang w:val="en-US"/>
        </w:rPr>
        <w:t xml:space="preserve"> (interview); Public Prosecutor’s Office</w:t>
      </w:r>
      <w:r>
        <w:rPr>
          <w:rFonts w:asciiTheme="majorBidi" w:hAnsiTheme="majorBidi" w:cstheme="majorBidi"/>
          <w:color w:val="000000" w:themeColor="text1"/>
          <w:lang w:val="en-US"/>
        </w:rPr>
        <w:t xml:space="preserve"> II</w:t>
      </w:r>
      <w:r w:rsidRPr="00A87040">
        <w:rPr>
          <w:rFonts w:asciiTheme="majorBidi" w:hAnsiTheme="majorBidi" w:cstheme="majorBidi"/>
          <w:color w:val="000000" w:themeColor="text1"/>
          <w:lang w:val="en-US"/>
        </w:rPr>
        <w:t xml:space="preserve"> (interview).</w:t>
      </w:r>
    </w:p>
  </w:footnote>
  <w:footnote w:id="320">
    <w:p w14:paraId="3F92EFC4" w14:textId="5E8932C2" w:rsidR="00D81F47" w:rsidRPr="0033147B" w:rsidRDefault="00D81F47">
      <w:pPr>
        <w:pStyle w:val="Funotentext"/>
        <w:rPr>
          <w:lang w:val="en-GB"/>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 xml:space="preserve">Public Prosecutor’s Office </w:t>
      </w:r>
      <w:r>
        <w:rPr>
          <w:rFonts w:asciiTheme="majorBidi" w:hAnsiTheme="majorBidi" w:cstheme="majorBidi"/>
          <w:color w:val="000000" w:themeColor="text1"/>
          <w:lang w:val="en-US"/>
        </w:rPr>
        <w:t>I</w:t>
      </w:r>
      <w:r w:rsidRPr="00A87040">
        <w:rPr>
          <w:rFonts w:asciiTheme="majorBidi" w:hAnsiTheme="majorBidi" w:cstheme="majorBidi"/>
          <w:color w:val="000000" w:themeColor="text1"/>
          <w:lang w:val="en-US"/>
        </w:rPr>
        <w:t xml:space="preserve"> (interview); Public Prosecutor’s Office</w:t>
      </w:r>
      <w:r>
        <w:rPr>
          <w:rFonts w:asciiTheme="majorBidi" w:hAnsiTheme="majorBidi" w:cstheme="majorBidi"/>
          <w:color w:val="000000" w:themeColor="text1"/>
          <w:lang w:val="en-US"/>
        </w:rPr>
        <w:t xml:space="preserve"> II</w:t>
      </w:r>
      <w:r w:rsidRPr="00A87040">
        <w:rPr>
          <w:rFonts w:asciiTheme="majorBidi" w:hAnsiTheme="majorBidi" w:cstheme="majorBidi"/>
          <w:color w:val="000000" w:themeColor="text1"/>
          <w:lang w:val="en-US"/>
        </w:rPr>
        <w:t xml:space="preserve"> (interview).</w:t>
      </w:r>
    </w:p>
  </w:footnote>
  <w:footnote w:id="321">
    <w:p w14:paraId="005CD46B" w14:textId="147EA9CC" w:rsidR="00D81F47" w:rsidRPr="0033147B" w:rsidRDefault="00D81F47">
      <w:pPr>
        <w:pStyle w:val="Funotentext"/>
        <w:rPr>
          <w:lang w:val="en-GB"/>
        </w:rPr>
      </w:pPr>
      <w:r>
        <w:rPr>
          <w:rStyle w:val="Funotenzeichen"/>
        </w:rPr>
        <w:footnoteRef/>
      </w:r>
      <w:r w:rsidRPr="0033147B">
        <w:rPr>
          <w:lang w:val="en-GB"/>
        </w:rPr>
        <w:t xml:space="preserve"> </w:t>
      </w:r>
      <w:r>
        <w:rPr>
          <w:lang w:val="en-GB"/>
        </w:rPr>
        <w:t xml:space="preserve">State’s </w:t>
      </w:r>
      <w:r w:rsidRPr="00A87040">
        <w:rPr>
          <w:rFonts w:asciiTheme="majorBidi" w:hAnsiTheme="majorBidi" w:cstheme="majorBidi"/>
          <w:color w:val="000000" w:themeColor="text1"/>
          <w:lang w:val="en-US"/>
        </w:rPr>
        <w:t>Ministry of Justice (interview).</w:t>
      </w:r>
    </w:p>
  </w:footnote>
  <w:footnote w:id="322">
    <w:p w14:paraId="427C4124" w14:textId="00D31D2F" w:rsidR="00D81F47" w:rsidRPr="00EE04F1" w:rsidRDefault="00D81F47">
      <w:pPr>
        <w:pStyle w:val="Funotentext"/>
        <w:rPr>
          <w:lang w:val="de-DE"/>
        </w:rPr>
      </w:pPr>
      <w:r>
        <w:rPr>
          <w:rStyle w:val="Funotenzeichen"/>
        </w:rPr>
        <w:footnoteRef/>
      </w:r>
      <w:r w:rsidRPr="00EE04F1">
        <w:rPr>
          <w:lang w:val="de-DE"/>
        </w:rPr>
        <w:t xml:space="preserve"> Brodowski, “§ 22” in Müller/Schlothauer/Knauer (Eds.), </w:t>
      </w:r>
      <w:r w:rsidRPr="00EE04F1">
        <w:rPr>
          <w:i/>
          <w:lang w:val="de-DE"/>
        </w:rPr>
        <w:t>Anwaltshandbuch</w:t>
      </w:r>
      <w:r w:rsidRPr="00EE04F1">
        <w:rPr>
          <w:lang w:val="de-DE"/>
        </w:rPr>
        <w:t xml:space="preserve"> </w:t>
      </w:r>
      <w:r w:rsidRPr="00EE04F1">
        <w:rPr>
          <w:i/>
          <w:lang w:val="de-DE"/>
        </w:rPr>
        <w:t>Strafverteidigung,</w:t>
      </w:r>
      <w:r w:rsidRPr="00EE04F1">
        <w:rPr>
          <w:lang w:val="de-DE"/>
        </w:rPr>
        <w:t xml:space="preserve"> 3rd ed. (C.H. Beck, 2022), para. 47.</w:t>
      </w:r>
    </w:p>
  </w:footnote>
  <w:footnote w:id="323">
    <w:p w14:paraId="30EED80F" w14:textId="5FBC1CB0" w:rsidR="00D81F47" w:rsidRPr="0033147B" w:rsidRDefault="00D81F47">
      <w:pPr>
        <w:pStyle w:val="Funotentext"/>
        <w:rPr>
          <w:lang w:val="en-GB"/>
        </w:rPr>
      </w:pPr>
      <w:r>
        <w:rPr>
          <w:rStyle w:val="Funotenzeichen"/>
        </w:rPr>
        <w:footnoteRef/>
      </w:r>
      <w:r w:rsidRPr="00EE04F1">
        <w:rPr>
          <w:lang w:val="de-DE"/>
        </w:rPr>
        <w:t xml:space="preserve"> Brodowski, “§ 22” in Müller/Schlothauer/Knauer (Eds.), </w:t>
      </w:r>
      <w:r w:rsidRPr="00EE04F1">
        <w:rPr>
          <w:i/>
          <w:lang w:val="de-DE"/>
        </w:rPr>
        <w:t>Anwaltshandbuch</w:t>
      </w:r>
      <w:r w:rsidRPr="00EE04F1">
        <w:rPr>
          <w:lang w:val="de-DE"/>
        </w:rPr>
        <w:t xml:space="preserve"> </w:t>
      </w:r>
      <w:r w:rsidRPr="00EE04F1">
        <w:rPr>
          <w:i/>
          <w:lang w:val="de-DE"/>
        </w:rPr>
        <w:t>Strafverteidigung,</w:t>
      </w:r>
      <w:r w:rsidRPr="00EE04F1">
        <w:rPr>
          <w:lang w:val="de-DE"/>
        </w:rPr>
        <w:t xml:space="preserve"> 3rd ed. </w:t>
      </w:r>
      <w:r w:rsidRPr="0033147B">
        <w:rPr>
          <w:lang w:val="en-GB"/>
        </w:rPr>
        <w:t xml:space="preserve">(C.H. Beck, 2022), para. 47; Hackner, “§ 85” in Schomburg/Lagodny (Eds.), </w:t>
      </w:r>
      <w:r w:rsidRPr="0033147B">
        <w:rPr>
          <w:i/>
          <w:lang w:val="en-GB"/>
        </w:rPr>
        <w:t>Internationale Rechtshilfe in Strafsachen</w:t>
      </w:r>
      <w:r w:rsidRPr="0033147B">
        <w:rPr>
          <w:lang w:val="en-GB"/>
        </w:rPr>
        <w:t>, 6th ed. (C.H. Beck, 2020), paras 10, 11.</w:t>
      </w:r>
    </w:p>
  </w:footnote>
  <w:footnote w:id="324">
    <w:p w14:paraId="526E7C8F" w14:textId="3743848F" w:rsidR="00D81F47" w:rsidRPr="00CB796C" w:rsidRDefault="00D81F47">
      <w:pPr>
        <w:pStyle w:val="Funotentext"/>
        <w:rPr>
          <w:lang w:val="en-US"/>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Public Prosecutor’s Office</w:t>
      </w:r>
      <w:r>
        <w:rPr>
          <w:rFonts w:asciiTheme="majorBidi" w:hAnsiTheme="majorBidi" w:cstheme="majorBidi"/>
          <w:color w:val="000000" w:themeColor="text1"/>
          <w:lang w:val="en-US"/>
        </w:rPr>
        <w:t xml:space="preserve"> I</w:t>
      </w:r>
      <w:r w:rsidRPr="00A87040">
        <w:rPr>
          <w:rFonts w:asciiTheme="majorBidi" w:hAnsiTheme="majorBidi" w:cstheme="majorBidi"/>
          <w:color w:val="000000" w:themeColor="text1"/>
          <w:lang w:val="en-US"/>
        </w:rPr>
        <w:t xml:space="preserve"> (interview).</w:t>
      </w:r>
    </w:p>
  </w:footnote>
  <w:footnote w:id="325">
    <w:p w14:paraId="6FC2EB02" w14:textId="3D0FD481" w:rsidR="00D81F47" w:rsidRPr="00CB796C" w:rsidRDefault="00D81F47" w:rsidP="00BE4AC0">
      <w:pPr>
        <w:pStyle w:val="Funotentext"/>
        <w:rPr>
          <w:rFonts w:asciiTheme="majorBidi" w:hAnsiTheme="majorBidi" w:cstheme="majorBidi"/>
          <w:color w:val="000000" w:themeColor="text1"/>
          <w:lang w:val="en-US"/>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Federal Ministry of Justice (interview).</w:t>
      </w:r>
      <w:r>
        <w:rPr>
          <w:rFonts w:asciiTheme="majorBidi" w:hAnsiTheme="majorBidi" w:cstheme="majorBidi"/>
          <w:color w:val="000000" w:themeColor="text1"/>
          <w:lang w:val="en-US"/>
        </w:rPr>
        <w:t xml:space="preserve"> </w:t>
      </w:r>
    </w:p>
  </w:footnote>
  <w:footnote w:id="326">
    <w:p w14:paraId="32991860" w14:textId="344140F6" w:rsidR="00D81F47" w:rsidRPr="00CB796C" w:rsidRDefault="00D81F47">
      <w:pPr>
        <w:pStyle w:val="Funotentext"/>
        <w:rPr>
          <w:lang w:val="it-IT"/>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 xml:space="preserve">Public Prosecutor’s Office </w:t>
      </w:r>
      <w:r>
        <w:rPr>
          <w:rFonts w:asciiTheme="majorBidi" w:hAnsiTheme="majorBidi" w:cstheme="majorBidi"/>
          <w:color w:val="000000" w:themeColor="text1"/>
          <w:lang w:val="en-US"/>
        </w:rPr>
        <w:t>III</w:t>
      </w:r>
      <w:r w:rsidRPr="00A87040">
        <w:rPr>
          <w:rFonts w:asciiTheme="majorBidi" w:hAnsiTheme="majorBidi" w:cstheme="majorBidi"/>
          <w:color w:val="000000" w:themeColor="text1"/>
          <w:lang w:val="en-US"/>
        </w:rPr>
        <w:t xml:space="preserve"> (interview).</w:t>
      </w:r>
    </w:p>
  </w:footnote>
  <w:footnote w:id="327">
    <w:p w14:paraId="6269F9ED" w14:textId="442FB8B8" w:rsidR="00D81F47" w:rsidRPr="00CB796C" w:rsidRDefault="00D81F47">
      <w:pPr>
        <w:pStyle w:val="Funotentext"/>
        <w:rPr>
          <w:lang w:val="en-US"/>
        </w:rPr>
      </w:pPr>
      <w:r>
        <w:rPr>
          <w:rStyle w:val="Funotenzeichen"/>
        </w:rPr>
        <w:footnoteRef/>
      </w:r>
      <w:r w:rsidRPr="0033147B">
        <w:rPr>
          <w:lang w:val="en-GB"/>
        </w:rPr>
        <w:t xml:space="preserve"> Evaluation Report on Germany on the 9th round of mutual evaluations. Council-Document 7960/1/20 REV 1, p. 99; explanatory memorandum of the German government, Bundestags-Drucksache No. 18/4347, p. 155; Böse, “§ 85” in Grützner/Pötz/Kreß/Gazeas/Brodowski (Eds), </w:t>
      </w:r>
      <w:r w:rsidRPr="0033147B">
        <w:rPr>
          <w:i/>
          <w:lang w:val="en-GB"/>
        </w:rPr>
        <w:t>Internationaler Rechtshilfeverkehr in Strafsachen,</w:t>
      </w:r>
      <w:r w:rsidRPr="0033147B">
        <w:rPr>
          <w:lang w:val="en-GB"/>
        </w:rPr>
        <w:t xml:space="preserve"> 3rd ed. </w:t>
      </w:r>
      <w:r w:rsidRPr="00CB796C">
        <w:rPr>
          <w:lang w:val="en-US"/>
        </w:rPr>
        <w:t>(</w:t>
      </w:r>
      <w:r>
        <w:rPr>
          <w:lang w:val="en-US"/>
        </w:rPr>
        <w:t>57</w:t>
      </w:r>
      <w:r w:rsidRPr="00CB796C">
        <w:rPr>
          <w:lang w:val="en-US"/>
        </w:rPr>
        <w:t>th instal</w:t>
      </w:r>
      <w:r>
        <w:rPr>
          <w:lang w:val="en-US"/>
        </w:rPr>
        <w:t>l</w:t>
      </w:r>
      <w:r w:rsidRPr="00CB796C">
        <w:rPr>
          <w:lang w:val="en-US"/>
        </w:rPr>
        <w:t xml:space="preserve">ment, </w:t>
      </w:r>
      <w:r>
        <w:rPr>
          <w:lang w:val="en-US"/>
        </w:rPr>
        <w:t>Jun.</w:t>
      </w:r>
      <w:r w:rsidRPr="00CB796C">
        <w:rPr>
          <w:lang w:val="en-US"/>
        </w:rPr>
        <w:t xml:space="preserve"> 20</w:t>
      </w:r>
      <w:r>
        <w:rPr>
          <w:lang w:val="en-US"/>
        </w:rPr>
        <w:t>24</w:t>
      </w:r>
      <w:r w:rsidRPr="00CB796C">
        <w:rPr>
          <w:lang w:val="en-US"/>
        </w:rPr>
        <w:t>), para 9</w:t>
      </w:r>
      <w:r>
        <w:rPr>
          <w:lang w:val="en-US"/>
        </w:rPr>
        <w:t>; see also section 141(3) of the draft bill on the reform of the AICCM.</w:t>
      </w:r>
    </w:p>
  </w:footnote>
  <w:footnote w:id="328">
    <w:p w14:paraId="645AE29E" w14:textId="617B97A8" w:rsidR="00D81F47" w:rsidRPr="0033147B" w:rsidRDefault="00D81F47">
      <w:pPr>
        <w:pStyle w:val="Funotentext"/>
        <w:rPr>
          <w:lang w:val="en-GB"/>
        </w:rPr>
      </w:pPr>
      <w:r>
        <w:rPr>
          <w:rStyle w:val="Funotenzeichen"/>
        </w:rPr>
        <w:footnoteRef/>
      </w:r>
      <w:r w:rsidRPr="0033147B">
        <w:rPr>
          <w:lang w:val="en-GB"/>
        </w:rPr>
        <w:t xml:space="preserve"> Evaluation Report on Germany on the 9th round of mutual evaluations. Council-Document 7960/1/20 REV 1, p. 99, 101.</w:t>
      </w:r>
    </w:p>
  </w:footnote>
  <w:footnote w:id="329">
    <w:p w14:paraId="7219F920" w14:textId="7E6E1B86" w:rsidR="00D81F47" w:rsidRPr="0033147B" w:rsidRDefault="00D81F47" w:rsidP="00E70CB3">
      <w:pPr>
        <w:pStyle w:val="Funotentext"/>
        <w:rPr>
          <w:lang w:val="en-GB"/>
        </w:rPr>
      </w:pPr>
      <w:r>
        <w:rPr>
          <w:rStyle w:val="Funotenzeichen"/>
        </w:rPr>
        <w:footnoteRef/>
      </w:r>
      <w:r w:rsidRPr="0033147B">
        <w:rPr>
          <w:lang w:val="en-GB"/>
        </w:rPr>
        <w:t xml:space="preserve"> </w:t>
      </w:r>
      <w:r w:rsidRPr="000166A1">
        <w:rPr>
          <w:lang w:val="en-US"/>
        </w:rPr>
        <w:t>See the explanatory mem</w:t>
      </w:r>
      <w:r>
        <w:rPr>
          <w:lang w:val="en-US"/>
        </w:rPr>
        <w:t>orandum of the German government, Bundestags-Drucksache No. 18/4347, p. 187.</w:t>
      </w:r>
    </w:p>
  </w:footnote>
  <w:footnote w:id="330">
    <w:p w14:paraId="602B09BC" w14:textId="759DAA2B" w:rsidR="00D81F47" w:rsidRPr="0033147B" w:rsidRDefault="00D81F47" w:rsidP="00D06641">
      <w:pPr>
        <w:pStyle w:val="Funotentext"/>
        <w:rPr>
          <w:lang w:val="en-GB"/>
        </w:rPr>
      </w:pPr>
      <w:r>
        <w:rPr>
          <w:rStyle w:val="Funotenzeichen"/>
        </w:rPr>
        <w:footnoteRef/>
      </w:r>
      <w:r w:rsidRPr="0033147B">
        <w:rPr>
          <w:lang w:val="en-GB"/>
        </w:rPr>
        <w:t xml:space="preserve"> CJEU, Judgment of 26 March 2020 – Case C-2/19</w:t>
      </w:r>
      <w:r w:rsidRPr="0033147B">
        <w:rPr>
          <w:i/>
          <w:iCs/>
          <w:lang w:val="en-GB"/>
        </w:rPr>
        <w:t>, A</w:t>
      </w:r>
      <w:r w:rsidRPr="0033147B">
        <w:rPr>
          <w:rFonts w:asciiTheme="majorBidi" w:hAnsiTheme="majorBidi" w:cstheme="majorBidi"/>
          <w:i/>
          <w:iCs/>
          <w:color w:val="000000" w:themeColor="text1"/>
          <w:lang w:val="en-GB"/>
        </w:rPr>
        <w:t>.P.</w:t>
      </w:r>
      <w:r w:rsidRPr="0033147B">
        <w:rPr>
          <w:rFonts w:asciiTheme="majorBidi" w:hAnsiTheme="majorBidi" w:cstheme="majorBidi"/>
          <w:i/>
          <w:iCs/>
          <w:color w:val="000000" w:themeColor="text1"/>
          <w:shd w:val="clear" w:color="auto" w:fill="FFFFFF"/>
          <w:lang w:val="en-GB"/>
        </w:rPr>
        <w:t>,</w:t>
      </w:r>
      <w:r w:rsidRPr="0033147B">
        <w:rPr>
          <w:rFonts w:asciiTheme="majorBidi" w:hAnsiTheme="majorBidi" w:cstheme="majorBidi"/>
          <w:color w:val="000000" w:themeColor="text1"/>
          <w:shd w:val="clear" w:color="auto" w:fill="FFFFFF"/>
          <w:lang w:val="en-GB"/>
        </w:rPr>
        <w:t xml:space="preserve"> EU:C:2020:237</w:t>
      </w:r>
      <w:r w:rsidRPr="0033147B">
        <w:rPr>
          <w:rFonts w:asciiTheme="majorBidi" w:hAnsiTheme="majorBidi" w:cstheme="majorBidi"/>
          <w:color w:val="000000" w:themeColor="text1"/>
          <w:lang w:val="en-GB"/>
        </w:rPr>
        <w:t>.</w:t>
      </w:r>
    </w:p>
  </w:footnote>
  <w:footnote w:id="331">
    <w:p w14:paraId="1270FFAB" w14:textId="543AA47D" w:rsidR="00D81F47" w:rsidRPr="00CE5CB4" w:rsidRDefault="00D81F47">
      <w:pPr>
        <w:pStyle w:val="Funotentext"/>
        <w:rPr>
          <w:lang w:val="de-DE"/>
        </w:rPr>
      </w:pPr>
      <w:r>
        <w:rPr>
          <w:rStyle w:val="Funotenzeichen"/>
        </w:rPr>
        <w:footnoteRef/>
      </w:r>
      <w:r w:rsidRPr="00EE04F1">
        <w:rPr>
          <w:lang w:val="de-DE"/>
        </w:rPr>
        <w:t xml:space="preserve"> Morgenstern</w:t>
      </w:r>
      <w:r>
        <w:rPr>
          <w:lang w:val="de-DE"/>
        </w:rPr>
        <w:t>,</w:t>
      </w:r>
      <w:r w:rsidRPr="00EE04F1">
        <w:rPr>
          <w:lang w:val="de-DE"/>
        </w:rPr>
        <w:t xml:space="preserve"> </w:t>
      </w:r>
      <w:r>
        <w:rPr>
          <w:lang w:val="de-DE"/>
        </w:rPr>
        <w:t>“</w:t>
      </w:r>
      <w:r w:rsidRPr="00CB796C">
        <w:rPr>
          <w:lang w:val="de-DE"/>
        </w:rPr>
        <w:t>§ 15 Vollstreckungshilfe</w:t>
      </w:r>
      <w:r>
        <w:rPr>
          <w:lang w:val="de-DE"/>
        </w:rPr>
        <w:t>“</w:t>
      </w:r>
      <w:r w:rsidRPr="00CB796C">
        <w:rPr>
          <w:lang w:val="de-DE"/>
        </w:rPr>
        <w:t xml:space="preserve"> in Böse (</w:t>
      </w:r>
      <w:r>
        <w:rPr>
          <w:lang w:val="de-DE"/>
        </w:rPr>
        <w:t>E</w:t>
      </w:r>
      <w:r w:rsidRPr="00CB796C">
        <w:rPr>
          <w:lang w:val="de-DE"/>
        </w:rPr>
        <w:t>d)</w:t>
      </w:r>
      <w:r>
        <w:rPr>
          <w:lang w:val="de-DE"/>
        </w:rPr>
        <w:t>,</w:t>
      </w:r>
      <w:r w:rsidRPr="00EE04F1">
        <w:rPr>
          <w:lang w:val="de-DE"/>
        </w:rPr>
        <w:t xml:space="preserve"> </w:t>
      </w:r>
      <w:r w:rsidRPr="00EE04F1">
        <w:rPr>
          <w:i/>
          <w:lang w:val="de-DE"/>
        </w:rPr>
        <w:t>Europäisches Strafrecht</w:t>
      </w:r>
      <w:r w:rsidRPr="00EE04F1">
        <w:rPr>
          <w:lang w:val="de-DE"/>
        </w:rPr>
        <w:t>, 2nd ed</w:t>
      </w:r>
      <w:r>
        <w:rPr>
          <w:lang w:val="de-DE"/>
        </w:rPr>
        <w:t>.</w:t>
      </w:r>
      <w:r w:rsidRPr="00CB796C">
        <w:rPr>
          <w:lang w:val="de-DE"/>
        </w:rPr>
        <w:t xml:space="preserve"> (Nomos, 2021), para 84.</w:t>
      </w:r>
    </w:p>
  </w:footnote>
  <w:footnote w:id="332">
    <w:p w14:paraId="19388C7E" w14:textId="67544626" w:rsidR="00D81F47" w:rsidRPr="0033147B" w:rsidRDefault="00D81F47">
      <w:pPr>
        <w:pStyle w:val="Funotentext"/>
        <w:rPr>
          <w:lang w:val="de-DE"/>
        </w:rPr>
      </w:pPr>
      <w:r>
        <w:rPr>
          <w:rStyle w:val="Funotenzeichen"/>
        </w:rPr>
        <w:footnoteRef/>
      </w:r>
      <w:r w:rsidRPr="0033147B">
        <w:rPr>
          <w:lang w:val="de-DE"/>
        </w:rPr>
        <w:t xml:space="preserve"> </w:t>
      </w:r>
      <w:r w:rsidRPr="00670608">
        <w:rPr>
          <w:lang w:val="de-DE"/>
        </w:rPr>
        <w:t xml:space="preserve">See the explanatory memorandum of the German government, Bundestags-Drucksache No. 18/4347, p. 187; </w:t>
      </w:r>
      <w:r w:rsidRPr="00AB7FF9">
        <w:rPr>
          <w:lang w:val="de-DE"/>
        </w:rPr>
        <w:t>Rothärmel</w:t>
      </w:r>
      <w:r>
        <w:rPr>
          <w:lang w:val="de-DE"/>
        </w:rPr>
        <w:t>,</w:t>
      </w:r>
      <w:r w:rsidRPr="00AB7FF9">
        <w:rPr>
          <w:lang w:val="de-DE"/>
        </w:rPr>
        <w:t xml:space="preserve"> </w:t>
      </w:r>
      <w:r>
        <w:rPr>
          <w:lang w:val="de-DE"/>
        </w:rPr>
        <w:t>“</w:t>
      </w:r>
      <w:r w:rsidRPr="00AB7FF9" w:rsidDel="00EA7459">
        <w:rPr>
          <w:lang w:val="de-DE"/>
        </w:rPr>
        <w:t xml:space="preserve"> </w:t>
      </w:r>
      <w:r w:rsidRPr="00AB7FF9">
        <w:rPr>
          <w:lang w:val="de-DE"/>
        </w:rPr>
        <w:t>Die grenzüberschreitende Abgabe und Übernahme der Bewährungsüberwachung n</w:t>
      </w:r>
      <w:r>
        <w:rPr>
          <w:lang w:val="de-DE"/>
        </w:rPr>
        <w:t xml:space="preserve">ach Umsetzung des Rahmenbeschlusses 2008/947/JI unter Berücksichtigung von Besonderheiten des Jugendstrafrechts“, (2016) </w:t>
      </w:r>
      <w:r w:rsidRPr="00670608">
        <w:rPr>
          <w:i/>
          <w:lang w:val="de-DE"/>
        </w:rPr>
        <w:t>Zeitschrift für Jugendkriminalrecht und Jugendhilfe</w:t>
      </w:r>
      <w:r>
        <w:rPr>
          <w:i/>
          <w:lang w:val="de-DE"/>
        </w:rPr>
        <w:t>,</w:t>
      </w:r>
      <w:r>
        <w:rPr>
          <w:lang w:val="de-DE"/>
        </w:rPr>
        <w:t xml:space="preserve"> 232 (at 233).</w:t>
      </w:r>
    </w:p>
  </w:footnote>
  <w:footnote w:id="333">
    <w:p w14:paraId="6F61D44E" w14:textId="07E72DFC" w:rsidR="00D81F47" w:rsidRPr="0033147B" w:rsidRDefault="00D81F47">
      <w:pPr>
        <w:pStyle w:val="Funotentext"/>
        <w:rPr>
          <w:lang w:val="en-GB"/>
        </w:rPr>
      </w:pPr>
      <w:r>
        <w:rPr>
          <w:rStyle w:val="Funotenzeichen"/>
        </w:rPr>
        <w:footnoteRef/>
      </w:r>
      <w:r w:rsidRPr="0033147B">
        <w:rPr>
          <w:lang w:val="en-GB"/>
        </w:rPr>
        <w:t xml:space="preserve"> </w:t>
      </w:r>
      <w:r w:rsidRPr="000166A1">
        <w:rPr>
          <w:lang w:val="en-US"/>
        </w:rPr>
        <w:t>See the explanatory mem</w:t>
      </w:r>
      <w:r>
        <w:rPr>
          <w:lang w:val="en-US"/>
        </w:rPr>
        <w:t>orandum of the German government, Bundestags-Drucksache No. 18/4347, p. 189.</w:t>
      </w:r>
    </w:p>
  </w:footnote>
  <w:footnote w:id="334">
    <w:p w14:paraId="514950D4" w14:textId="3B1BA2B8" w:rsidR="00D81F47" w:rsidRPr="0033147B" w:rsidRDefault="00D81F47">
      <w:pPr>
        <w:pStyle w:val="Funotentext"/>
        <w:rPr>
          <w:lang w:val="en-GB"/>
        </w:rPr>
      </w:pPr>
      <w:r>
        <w:rPr>
          <w:rStyle w:val="Funotenzeichen"/>
        </w:rPr>
        <w:footnoteRef/>
      </w:r>
      <w:r w:rsidRPr="00EE04F1">
        <w:rPr>
          <w:lang w:val="de-DE"/>
        </w:rPr>
        <w:t xml:space="preserve"> Brodowski</w:t>
      </w:r>
      <w:r>
        <w:rPr>
          <w:lang w:val="de-DE"/>
        </w:rPr>
        <w:t>,</w:t>
      </w:r>
      <w:r w:rsidRPr="00EE04F1">
        <w:rPr>
          <w:lang w:val="de-DE"/>
        </w:rPr>
        <w:t xml:space="preserve"> </w:t>
      </w:r>
      <w:r>
        <w:rPr>
          <w:lang w:val="de-DE"/>
        </w:rPr>
        <w:t>“</w:t>
      </w:r>
      <w:r w:rsidRPr="00CB796C">
        <w:rPr>
          <w:lang w:val="de-DE"/>
        </w:rPr>
        <w:t>§ 22</w:t>
      </w:r>
      <w:r>
        <w:rPr>
          <w:lang w:val="de-DE"/>
        </w:rPr>
        <w:t>“</w:t>
      </w:r>
      <w:r w:rsidRPr="00CB796C">
        <w:rPr>
          <w:lang w:val="de-DE"/>
        </w:rPr>
        <w:t xml:space="preserve"> in Müller/Schlothauer/Knauer</w:t>
      </w:r>
      <w:r>
        <w:rPr>
          <w:lang w:val="de-DE"/>
        </w:rPr>
        <w:t xml:space="preserve"> (Eds.),</w:t>
      </w:r>
      <w:r w:rsidRPr="00EE04F1">
        <w:rPr>
          <w:lang w:val="de-DE"/>
        </w:rPr>
        <w:t xml:space="preserve"> </w:t>
      </w:r>
      <w:r w:rsidRPr="00EE04F1">
        <w:rPr>
          <w:i/>
          <w:lang w:val="de-DE"/>
        </w:rPr>
        <w:t>Anwaltshandbuch</w:t>
      </w:r>
      <w:r w:rsidRPr="00EE04F1">
        <w:rPr>
          <w:lang w:val="de-DE"/>
        </w:rPr>
        <w:t xml:space="preserve"> </w:t>
      </w:r>
      <w:r w:rsidRPr="00EE04F1">
        <w:rPr>
          <w:i/>
          <w:lang w:val="de-DE"/>
        </w:rPr>
        <w:t>Strafverteidigung</w:t>
      </w:r>
      <w:r>
        <w:rPr>
          <w:i/>
          <w:lang w:val="de-DE"/>
        </w:rPr>
        <w:t>,</w:t>
      </w:r>
      <w:r w:rsidRPr="00EE04F1">
        <w:rPr>
          <w:lang w:val="de-DE"/>
        </w:rPr>
        <w:t xml:space="preserve"> 3rd ed</w:t>
      </w:r>
      <w:r>
        <w:rPr>
          <w:lang w:val="de-DE"/>
        </w:rPr>
        <w:t>.</w:t>
      </w:r>
      <w:r w:rsidRPr="00CB796C">
        <w:rPr>
          <w:lang w:val="de-DE"/>
        </w:rPr>
        <w:t xml:space="preserve"> </w:t>
      </w:r>
      <w:r w:rsidRPr="00CB796C">
        <w:rPr>
          <w:lang w:val="en-US"/>
        </w:rPr>
        <w:t xml:space="preserve">(C.H. Beck, 2022), para. </w:t>
      </w:r>
      <w:r w:rsidRPr="0033147B">
        <w:rPr>
          <w:lang w:val="en-GB"/>
        </w:rPr>
        <w:t>51.</w:t>
      </w:r>
    </w:p>
  </w:footnote>
  <w:footnote w:id="335">
    <w:p w14:paraId="3F575CF3" w14:textId="6844C1A5" w:rsidR="00D81F47" w:rsidRPr="00EE04F1" w:rsidRDefault="00D81F47" w:rsidP="00C02DE5">
      <w:pPr>
        <w:pStyle w:val="Funotentext"/>
        <w:rPr>
          <w:lang w:val="de-DE"/>
        </w:rPr>
      </w:pPr>
      <w:r>
        <w:rPr>
          <w:rStyle w:val="Funotenzeichen"/>
        </w:rPr>
        <w:footnoteRef/>
      </w:r>
      <w:r w:rsidRPr="0033147B">
        <w:rPr>
          <w:lang w:val="en-GB"/>
        </w:rPr>
        <w:t xml:space="preserve"> </w:t>
      </w:r>
      <w:r w:rsidRPr="00150A23">
        <w:rPr>
          <w:lang w:val="en-US"/>
        </w:rPr>
        <w:t xml:space="preserve">See the explanatory memorandum of the German government, Bundestags-Drucksache No. 18/4347, p. 188; </w:t>
      </w:r>
      <w:r w:rsidRPr="0033147B">
        <w:rPr>
          <w:lang w:val="en-GB"/>
        </w:rPr>
        <w:t>Hackner</w:t>
      </w:r>
      <w:r>
        <w:rPr>
          <w:lang w:val="en-US"/>
        </w:rPr>
        <w:t>,</w:t>
      </w:r>
      <w:r w:rsidRPr="0033147B">
        <w:rPr>
          <w:lang w:val="en-GB"/>
        </w:rPr>
        <w:t xml:space="preserve"> </w:t>
      </w:r>
      <w:r>
        <w:rPr>
          <w:lang w:val="en-US"/>
        </w:rPr>
        <w:t>“</w:t>
      </w:r>
      <w:r w:rsidRPr="00CB796C">
        <w:rPr>
          <w:lang w:val="en-US"/>
        </w:rPr>
        <w:t>§ 90l</w:t>
      </w:r>
      <w:r>
        <w:rPr>
          <w:lang w:val="en-US"/>
        </w:rPr>
        <w:t>”</w:t>
      </w:r>
      <w:r w:rsidRPr="00CB796C">
        <w:rPr>
          <w:lang w:val="en-US"/>
        </w:rPr>
        <w:t xml:space="preserve"> in Schomburg/Lagodny</w:t>
      </w:r>
      <w:r>
        <w:rPr>
          <w:lang w:val="en-US"/>
        </w:rPr>
        <w:t xml:space="preserve"> (Eds.)</w:t>
      </w:r>
      <w:r w:rsidRPr="0033147B">
        <w:rPr>
          <w:lang w:val="en-GB"/>
        </w:rPr>
        <w:t xml:space="preserve">, </w:t>
      </w:r>
      <w:r w:rsidRPr="0033147B">
        <w:rPr>
          <w:i/>
          <w:lang w:val="en-GB"/>
        </w:rPr>
        <w:t>Internationale Rechtshilfe in Strafsachen</w:t>
      </w:r>
      <w:r w:rsidRPr="0033147B">
        <w:rPr>
          <w:lang w:val="en-GB"/>
        </w:rPr>
        <w:t>, 6th ed</w:t>
      </w:r>
      <w:r>
        <w:rPr>
          <w:lang w:val="en-US"/>
        </w:rPr>
        <w:t>.</w:t>
      </w:r>
      <w:r w:rsidRPr="00CB796C">
        <w:rPr>
          <w:lang w:val="en-US"/>
        </w:rPr>
        <w:t xml:space="preserve"> (C.H. Beck, 2020), para 7; Evaluation Report on Germany on the 9th round of mutual evaluations. </w:t>
      </w:r>
      <w:r w:rsidRPr="00EE04F1">
        <w:rPr>
          <w:lang w:val="de-DE"/>
        </w:rPr>
        <w:t>Council-Document 7960/1/20 REV 1, p. 92.</w:t>
      </w:r>
    </w:p>
  </w:footnote>
  <w:footnote w:id="336">
    <w:p w14:paraId="64A4B60E" w14:textId="759CB2D0" w:rsidR="00D81F47" w:rsidRPr="00EE04F1" w:rsidRDefault="00D81F47">
      <w:pPr>
        <w:pStyle w:val="Funotentext"/>
        <w:rPr>
          <w:lang w:val="de-DE"/>
        </w:rPr>
      </w:pPr>
      <w:r>
        <w:rPr>
          <w:rStyle w:val="Funotenzeichen"/>
        </w:rPr>
        <w:footnoteRef/>
      </w:r>
      <w:r w:rsidRPr="00EE04F1">
        <w:rPr>
          <w:lang w:val="de-DE"/>
        </w:rPr>
        <w:t xml:space="preserve"> Graf von Luckner</w:t>
      </w:r>
      <w:r>
        <w:rPr>
          <w:lang w:val="de-DE"/>
        </w:rPr>
        <w:t>,</w:t>
      </w:r>
      <w:r w:rsidRPr="00EE04F1">
        <w:rPr>
          <w:lang w:val="de-DE"/>
        </w:rPr>
        <w:t xml:space="preserve"> </w:t>
      </w:r>
      <w:r>
        <w:rPr>
          <w:lang w:val="de-DE"/>
        </w:rPr>
        <w:t>“</w:t>
      </w:r>
      <w:r w:rsidRPr="00CB796C">
        <w:rPr>
          <w:lang w:val="de-DE"/>
        </w:rPr>
        <w:t>Anmerkung zu EuGH (1. Kammer), Urt. V. 26.3.2020 – C-2/19</w:t>
      </w:r>
      <w:r>
        <w:rPr>
          <w:lang w:val="de-DE"/>
        </w:rPr>
        <w:t>“, (</w:t>
      </w:r>
      <w:r w:rsidRPr="00EE04F1">
        <w:rPr>
          <w:lang w:val="de-DE"/>
        </w:rPr>
        <w:t>2020</w:t>
      </w:r>
      <w:r>
        <w:rPr>
          <w:lang w:val="de-DE"/>
        </w:rPr>
        <w:t>)</w:t>
      </w:r>
      <w:r w:rsidRPr="00EE04F1">
        <w:rPr>
          <w:lang w:val="de-DE"/>
        </w:rPr>
        <w:t xml:space="preserve"> </w:t>
      </w:r>
      <w:r w:rsidRPr="00EE04F1">
        <w:rPr>
          <w:i/>
          <w:lang w:val="de-DE"/>
        </w:rPr>
        <w:t>Neue Zeitschrift für Strafrecht</w:t>
      </w:r>
      <w:r>
        <w:rPr>
          <w:i/>
          <w:lang w:val="de-DE"/>
        </w:rPr>
        <w:t>,</w:t>
      </w:r>
      <w:r w:rsidRPr="00EE04F1">
        <w:rPr>
          <w:i/>
          <w:lang w:val="de-DE"/>
        </w:rPr>
        <w:t xml:space="preserve"> </w:t>
      </w:r>
      <w:r w:rsidRPr="00EE04F1">
        <w:rPr>
          <w:lang w:val="de-DE"/>
        </w:rPr>
        <w:t>688 (</w:t>
      </w:r>
      <w:r>
        <w:rPr>
          <w:lang w:val="de-DE"/>
        </w:rPr>
        <w:t xml:space="preserve">at </w:t>
      </w:r>
      <w:r w:rsidRPr="00EE04F1">
        <w:rPr>
          <w:lang w:val="de-DE"/>
        </w:rPr>
        <w:t>689-690); Morgenstern</w:t>
      </w:r>
      <w:r>
        <w:rPr>
          <w:lang w:val="de-DE"/>
        </w:rPr>
        <w:t>,</w:t>
      </w:r>
      <w:r w:rsidRPr="00EE04F1">
        <w:rPr>
          <w:lang w:val="de-DE"/>
        </w:rPr>
        <w:t xml:space="preserve"> </w:t>
      </w:r>
      <w:r>
        <w:rPr>
          <w:lang w:val="de-DE"/>
        </w:rPr>
        <w:t>“</w:t>
      </w:r>
      <w:r w:rsidRPr="00CB796C">
        <w:rPr>
          <w:lang w:val="de-DE"/>
        </w:rPr>
        <w:t>Europäische Standards für Bewährungshilfe</w:t>
      </w:r>
      <w:r>
        <w:rPr>
          <w:lang w:val="de-DE"/>
        </w:rPr>
        <w:t>“, (</w:t>
      </w:r>
      <w:r w:rsidRPr="00EE04F1">
        <w:rPr>
          <w:lang w:val="de-DE"/>
        </w:rPr>
        <w:t>2012</w:t>
      </w:r>
      <w:r>
        <w:rPr>
          <w:lang w:val="de-DE"/>
        </w:rPr>
        <w:t>)</w:t>
      </w:r>
      <w:r w:rsidRPr="00EE04F1">
        <w:rPr>
          <w:lang w:val="de-DE"/>
        </w:rPr>
        <w:t xml:space="preserve"> </w:t>
      </w:r>
      <w:r w:rsidRPr="00EE04F1">
        <w:rPr>
          <w:i/>
          <w:lang w:val="de-DE"/>
        </w:rPr>
        <w:t>Bewährungshilfe</w:t>
      </w:r>
      <w:r>
        <w:rPr>
          <w:i/>
          <w:lang w:val="de-DE"/>
        </w:rPr>
        <w:t>,</w:t>
      </w:r>
      <w:r w:rsidRPr="00EE04F1">
        <w:rPr>
          <w:i/>
          <w:lang w:val="de-DE"/>
        </w:rPr>
        <w:t xml:space="preserve"> </w:t>
      </w:r>
      <w:r w:rsidRPr="00EE04F1">
        <w:rPr>
          <w:lang w:val="de-DE"/>
        </w:rPr>
        <w:t>213 (</w:t>
      </w:r>
      <w:r>
        <w:rPr>
          <w:lang w:val="de-DE"/>
        </w:rPr>
        <w:t xml:space="preserve">at </w:t>
      </w:r>
      <w:r w:rsidRPr="00EE04F1">
        <w:rPr>
          <w:lang w:val="de-DE"/>
        </w:rPr>
        <w:t>231).</w:t>
      </w:r>
    </w:p>
  </w:footnote>
  <w:footnote w:id="337">
    <w:p w14:paraId="594F25FA" w14:textId="03344EEA" w:rsidR="00D81F47" w:rsidRPr="00CB796C" w:rsidRDefault="00D81F47" w:rsidP="00702E6D">
      <w:pPr>
        <w:pStyle w:val="Funotentext"/>
        <w:rPr>
          <w:rFonts w:asciiTheme="majorBidi" w:hAnsiTheme="majorBidi" w:cstheme="majorBidi"/>
          <w:color w:val="000000" w:themeColor="text1"/>
          <w:lang w:val="en-US"/>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Federal Ministry of Justice (interview)</w:t>
      </w:r>
      <w:r w:rsidRPr="00CB796C">
        <w:rPr>
          <w:lang w:val="en-US"/>
        </w:rPr>
        <w:t xml:space="preserve">; </w:t>
      </w:r>
      <w:r>
        <w:rPr>
          <w:lang w:val="en-GB"/>
        </w:rPr>
        <w:t>State’s</w:t>
      </w:r>
      <w:r w:rsidDel="004C313D">
        <w:rPr>
          <w:lang w:val="en-US"/>
        </w:rPr>
        <w:t xml:space="preserve"> </w:t>
      </w:r>
      <w:r w:rsidRPr="00A87040">
        <w:rPr>
          <w:rFonts w:asciiTheme="majorBidi" w:hAnsiTheme="majorBidi" w:cstheme="majorBidi"/>
          <w:color w:val="000000" w:themeColor="text1"/>
          <w:lang w:val="en-US"/>
        </w:rPr>
        <w:t>Ministry of Justice</w:t>
      </w:r>
      <w:r>
        <w:rPr>
          <w:rFonts w:asciiTheme="majorBidi" w:hAnsiTheme="majorBidi" w:cstheme="majorBidi"/>
          <w:color w:val="000000" w:themeColor="text1"/>
          <w:lang w:val="en-US"/>
        </w:rPr>
        <w:t xml:space="preserve"> </w:t>
      </w:r>
      <w:r w:rsidRPr="00A87040">
        <w:rPr>
          <w:rFonts w:asciiTheme="majorBidi" w:hAnsiTheme="majorBidi" w:cstheme="majorBidi"/>
          <w:color w:val="000000" w:themeColor="text1"/>
          <w:lang w:val="en-US"/>
        </w:rPr>
        <w:t>(interview).</w:t>
      </w:r>
    </w:p>
  </w:footnote>
  <w:footnote w:id="338">
    <w:p w14:paraId="5451E647" w14:textId="08C406EE" w:rsidR="00D81F47" w:rsidRPr="0033147B" w:rsidRDefault="00D81F47">
      <w:pPr>
        <w:pStyle w:val="Funotentext"/>
        <w:rPr>
          <w:lang w:val="en-GB"/>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 xml:space="preserve">Public Prosecutor’s Office </w:t>
      </w:r>
      <w:r>
        <w:rPr>
          <w:rFonts w:asciiTheme="majorBidi" w:hAnsiTheme="majorBidi" w:cstheme="majorBidi"/>
          <w:color w:val="000000" w:themeColor="text1"/>
          <w:lang w:val="en-US"/>
        </w:rPr>
        <w:t>III</w:t>
      </w:r>
      <w:r w:rsidRPr="00A87040">
        <w:rPr>
          <w:rFonts w:asciiTheme="majorBidi" w:hAnsiTheme="majorBidi" w:cstheme="majorBidi"/>
          <w:color w:val="000000" w:themeColor="text1"/>
          <w:lang w:val="en-US"/>
        </w:rPr>
        <w:t xml:space="preserve"> (interview)</w:t>
      </w:r>
      <w:r w:rsidRPr="0033147B">
        <w:rPr>
          <w:lang w:val="en-GB"/>
        </w:rPr>
        <w:t>.</w:t>
      </w:r>
    </w:p>
  </w:footnote>
  <w:footnote w:id="339">
    <w:p w14:paraId="6488405C" w14:textId="401505C4" w:rsidR="00D81F47" w:rsidRPr="0033147B" w:rsidRDefault="00D81F47">
      <w:pPr>
        <w:pStyle w:val="Funotentext"/>
        <w:rPr>
          <w:lang w:val="en-GB"/>
        </w:rPr>
      </w:pPr>
      <w:r>
        <w:rPr>
          <w:rStyle w:val="Funotenzeichen"/>
        </w:rPr>
        <w:footnoteRef/>
      </w:r>
      <w:r w:rsidRPr="0033147B">
        <w:rPr>
          <w:lang w:val="en-GB"/>
        </w:rPr>
        <w:t xml:space="preserve"> Defence Lawyer </w:t>
      </w:r>
      <w:r>
        <w:rPr>
          <w:lang w:val="en-GB"/>
        </w:rPr>
        <w:t>I</w:t>
      </w:r>
      <w:r w:rsidRPr="0033147B">
        <w:rPr>
          <w:lang w:val="en-GB"/>
        </w:rPr>
        <w:t xml:space="preserve">II (interview); Defence Lawyer </w:t>
      </w:r>
      <w:r>
        <w:rPr>
          <w:lang w:val="en-GB"/>
        </w:rPr>
        <w:t>II</w:t>
      </w:r>
      <w:r w:rsidRPr="0033147B">
        <w:rPr>
          <w:lang w:val="en-GB"/>
        </w:rPr>
        <w:t xml:space="preserve"> (interview).</w:t>
      </w:r>
    </w:p>
  </w:footnote>
  <w:footnote w:id="340">
    <w:p w14:paraId="744F53B0" w14:textId="018AF764" w:rsidR="00D81F47" w:rsidRPr="0033147B" w:rsidRDefault="00D81F47">
      <w:pPr>
        <w:pStyle w:val="Funotentext"/>
        <w:rPr>
          <w:lang w:val="en-GB"/>
        </w:rPr>
      </w:pPr>
      <w:r>
        <w:rPr>
          <w:rStyle w:val="Funotenzeichen"/>
        </w:rPr>
        <w:footnoteRef/>
      </w:r>
      <w:r w:rsidRPr="0033147B">
        <w:rPr>
          <w:lang w:val="en-GB"/>
        </w:rPr>
        <w:t xml:space="preserve"> District Court (interview).</w:t>
      </w:r>
    </w:p>
  </w:footnote>
  <w:footnote w:id="341">
    <w:p w14:paraId="67245484" w14:textId="4B4159DF" w:rsidR="00D81F47" w:rsidRPr="0033147B" w:rsidRDefault="00D81F47">
      <w:pPr>
        <w:pStyle w:val="Funotentext"/>
        <w:rPr>
          <w:lang w:val="en-GB"/>
        </w:rPr>
      </w:pPr>
      <w:r>
        <w:rPr>
          <w:rStyle w:val="Funotenzeichen"/>
        </w:rPr>
        <w:footnoteRef/>
      </w:r>
      <w:r w:rsidRPr="0033147B">
        <w:rPr>
          <w:lang w:val="en-GB"/>
        </w:rPr>
        <w:t xml:space="preserve"> Defence Lawyer </w:t>
      </w:r>
      <w:r>
        <w:rPr>
          <w:lang w:val="en-GB"/>
        </w:rPr>
        <w:t>II</w:t>
      </w:r>
      <w:r w:rsidRPr="0033147B">
        <w:rPr>
          <w:lang w:val="en-GB"/>
        </w:rPr>
        <w:t xml:space="preserve"> (interview).</w:t>
      </w:r>
    </w:p>
  </w:footnote>
  <w:footnote w:id="342">
    <w:p w14:paraId="4BD61A41" w14:textId="1E285809" w:rsidR="00D81F47" w:rsidRPr="0033147B" w:rsidRDefault="00D81F47">
      <w:pPr>
        <w:pStyle w:val="Funotentext"/>
        <w:rPr>
          <w:lang w:val="en-GB"/>
        </w:rPr>
      </w:pPr>
      <w:r>
        <w:rPr>
          <w:rStyle w:val="Funotenzeichen"/>
        </w:rPr>
        <w:footnoteRef/>
      </w:r>
      <w:r w:rsidRPr="0033147B">
        <w:rPr>
          <w:lang w:val="en-GB"/>
        </w:rPr>
        <w:t xml:space="preserve"> Federal Court of Justice, Judgment of 19 October 1976 – 1 StR 154/76, (1977) </w:t>
      </w:r>
      <w:r w:rsidRPr="0033147B">
        <w:rPr>
          <w:i/>
          <w:lang w:val="en-GB"/>
        </w:rPr>
        <w:t xml:space="preserve">Goltdammers Archiv, </w:t>
      </w:r>
      <w:r w:rsidRPr="0033147B">
        <w:rPr>
          <w:lang w:val="en-GB"/>
        </w:rPr>
        <w:t xml:space="preserve">110 (at 111); Judgment of 10 June 1999 – 4 StR 87-98, (1999) </w:t>
      </w:r>
      <w:r w:rsidRPr="0033147B">
        <w:rPr>
          <w:i/>
          <w:lang w:val="en-GB"/>
        </w:rPr>
        <w:t xml:space="preserve">Neue Zeitschrift für Strafrecht, </w:t>
      </w:r>
      <w:r w:rsidRPr="0033147B">
        <w:rPr>
          <w:lang w:val="en-GB"/>
        </w:rPr>
        <w:t xml:space="preserve">579 (at 580); Böse, </w:t>
      </w:r>
      <w:r w:rsidRPr="0033147B">
        <w:rPr>
          <w:i/>
          <w:lang w:val="en-GB"/>
        </w:rPr>
        <w:t xml:space="preserve">Übertragung und Übernahme der Strafverfolgung </w:t>
      </w:r>
      <w:r w:rsidRPr="0033147B">
        <w:rPr>
          <w:lang w:val="en-GB"/>
        </w:rPr>
        <w:t>(Nomos, 2023), p. 36, with further references.</w:t>
      </w:r>
    </w:p>
  </w:footnote>
  <w:footnote w:id="343">
    <w:p w14:paraId="2ED979D1" w14:textId="4545908A" w:rsidR="00D81F47" w:rsidRPr="00BE1205" w:rsidRDefault="00D81F47">
      <w:pPr>
        <w:pStyle w:val="Funotentext"/>
        <w:rPr>
          <w:lang w:val="de-DE"/>
        </w:rPr>
      </w:pPr>
      <w:r>
        <w:rPr>
          <w:rStyle w:val="Funotenzeichen"/>
        </w:rPr>
        <w:footnoteRef/>
      </w:r>
      <w:r>
        <w:t xml:space="preserve"> </w:t>
      </w:r>
      <w:r w:rsidRPr="00BE1205">
        <w:rPr>
          <w:lang w:val="de-DE"/>
        </w:rPr>
        <w:t xml:space="preserve">Böse, </w:t>
      </w:r>
      <w:r w:rsidRPr="00BE1205">
        <w:rPr>
          <w:i/>
          <w:lang w:val="de-DE"/>
        </w:rPr>
        <w:t xml:space="preserve">Übertragung und Übernahme der Strafverfolgung </w:t>
      </w:r>
      <w:r w:rsidRPr="00BE1205">
        <w:rPr>
          <w:lang w:val="de-DE"/>
        </w:rPr>
        <w:t>(Nomos, 2023), p.</w:t>
      </w:r>
      <w:r>
        <w:rPr>
          <w:lang w:val="de-DE"/>
        </w:rPr>
        <w:t xml:space="preserve"> 44.</w:t>
      </w:r>
    </w:p>
  </w:footnote>
  <w:footnote w:id="344">
    <w:p w14:paraId="32704183" w14:textId="0CC623EB" w:rsidR="00D81F47" w:rsidRPr="00CB796C" w:rsidRDefault="00D81F47" w:rsidP="00EF71EB">
      <w:pPr>
        <w:pStyle w:val="Funotentext"/>
        <w:rPr>
          <w:rFonts w:asciiTheme="majorBidi" w:hAnsiTheme="majorBidi" w:cstheme="majorBidi"/>
          <w:color w:val="000000" w:themeColor="text1"/>
          <w:lang w:val="en-US"/>
        </w:rPr>
      </w:pPr>
      <w:r>
        <w:rPr>
          <w:rStyle w:val="Funotenzeichen"/>
        </w:rPr>
        <w:footnoteRef/>
      </w:r>
      <w:r w:rsidRPr="0033147B">
        <w:rPr>
          <w:lang w:val="en-GB"/>
        </w:rPr>
        <w:t xml:space="preserve"> See also </w:t>
      </w:r>
      <w:r w:rsidRPr="00A87040">
        <w:rPr>
          <w:rFonts w:asciiTheme="majorBidi" w:hAnsiTheme="majorBidi" w:cstheme="majorBidi"/>
          <w:color w:val="000000" w:themeColor="text1"/>
          <w:lang w:val="en-US"/>
        </w:rPr>
        <w:t>Federal Ministry of Justice (interview).</w:t>
      </w:r>
    </w:p>
  </w:footnote>
  <w:footnote w:id="345">
    <w:p w14:paraId="4FE416A9" w14:textId="4702AC30" w:rsidR="00D81F47" w:rsidRPr="00CB796C" w:rsidRDefault="00D81F47" w:rsidP="00EF71EB">
      <w:pPr>
        <w:pStyle w:val="Funotentext"/>
        <w:rPr>
          <w:rFonts w:asciiTheme="majorBidi" w:hAnsiTheme="majorBidi" w:cstheme="majorBidi"/>
          <w:color w:val="000000" w:themeColor="text1"/>
          <w:lang w:val="en-US"/>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Federal Ministry of Justice (interview)</w:t>
      </w:r>
      <w:r w:rsidRPr="0033147B">
        <w:rPr>
          <w:lang w:val="en-GB"/>
        </w:rPr>
        <w:t>; District Court (interview).</w:t>
      </w:r>
    </w:p>
  </w:footnote>
  <w:footnote w:id="346">
    <w:p w14:paraId="121D6798" w14:textId="0C91FD35" w:rsidR="00D81F47" w:rsidRPr="0033147B" w:rsidRDefault="00D81F47">
      <w:pPr>
        <w:pStyle w:val="Funotentext"/>
        <w:rPr>
          <w:lang w:val="en-GB"/>
        </w:rPr>
      </w:pPr>
      <w:r>
        <w:rPr>
          <w:rStyle w:val="Funotenzeichen"/>
        </w:rPr>
        <w:footnoteRef/>
      </w:r>
      <w:r w:rsidRPr="0033147B">
        <w:rPr>
          <w:lang w:val="en-GB"/>
        </w:rPr>
        <w:t xml:space="preserve"> Sections 137 ff. AICCM (draft of December 2023).</w:t>
      </w:r>
    </w:p>
  </w:footnote>
  <w:footnote w:id="347">
    <w:p w14:paraId="74DD58FB" w14:textId="640E2795" w:rsidR="00D81F47" w:rsidRPr="0033147B" w:rsidRDefault="00D81F47">
      <w:pPr>
        <w:pStyle w:val="Funotentext"/>
        <w:rPr>
          <w:lang w:val="en-GB"/>
        </w:rPr>
      </w:pPr>
      <w:r>
        <w:rPr>
          <w:rStyle w:val="Funotenzeichen"/>
        </w:rPr>
        <w:footnoteRef/>
      </w:r>
      <w:r w:rsidRPr="0033147B">
        <w:rPr>
          <w:lang w:val="en-GB"/>
        </w:rPr>
        <w:t xml:space="preserve"> </w:t>
      </w:r>
      <w:r w:rsidRPr="000166A1">
        <w:rPr>
          <w:lang w:val="en-US"/>
        </w:rPr>
        <w:t>See the explanatory mem</w:t>
      </w:r>
      <w:r>
        <w:rPr>
          <w:lang w:val="en-US"/>
        </w:rPr>
        <w:t>orandum of the German government, Bundestags-Drucksache No. 18/4347, p. 143.</w:t>
      </w:r>
    </w:p>
  </w:footnote>
  <w:footnote w:id="348">
    <w:p w14:paraId="2E8444AB" w14:textId="4C949836" w:rsidR="00D81F47" w:rsidRPr="0033147B" w:rsidRDefault="00D81F47">
      <w:pPr>
        <w:pStyle w:val="Funotentext"/>
        <w:rPr>
          <w:lang w:val="en-GB"/>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 xml:space="preserve">Public Prosecutor’s Office </w:t>
      </w:r>
      <w:r>
        <w:rPr>
          <w:rFonts w:asciiTheme="majorBidi" w:hAnsiTheme="majorBidi" w:cstheme="majorBidi"/>
          <w:color w:val="000000" w:themeColor="text1"/>
          <w:lang w:val="en-US"/>
        </w:rPr>
        <w:t>III</w:t>
      </w:r>
      <w:r w:rsidRPr="00A87040">
        <w:rPr>
          <w:rFonts w:asciiTheme="majorBidi" w:hAnsiTheme="majorBidi" w:cstheme="majorBidi"/>
          <w:color w:val="000000" w:themeColor="text1"/>
          <w:lang w:val="en-US"/>
        </w:rPr>
        <w:t xml:space="preserve"> (interview)</w:t>
      </w:r>
      <w:r>
        <w:rPr>
          <w:rFonts w:asciiTheme="majorBidi" w:hAnsiTheme="majorBidi" w:cstheme="majorBidi"/>
          <w:color w:val="000000" w:themeColor="text1"/>
          <w:lang w:val="en-US"/>
        </w:rPr>
        <w:t xml:space="preserve">. </w:t>
      </w:r>
    </w:p>
  </w:footnote>
  <w:footnote w:id="349">
    <w:p w14:paraId="4537B838" w14:textId="3B1CE75B" w:rsidR="00D81F47" w:rsidRPr="0033147B" w:rsidRDefault="00D81F47" w:rsidP="003C0CBA">
      <w:pPr>
        <w:pStyle w:val="Funotentext"/>
        <w:rPr>
          <w:lang w:val="en-GB"/>
        </w:rPr>
      </w:pPr>
      <w:r>
        <w:rPr>
          <w:rStyle w:val="Funotenzeichen"/>
        </w:rPr>
        <w:footnoteRef/>
      </w:r>
      <w:r w:rsidRPr="0033147B">
        <w:rPr>
          <w:lang w:val="en-GB"/>
        </w:rPr>
        <w:t xml:space="preserve"> </w:t>
      </w:r>
      <w:r w:rsidRPr="000166A1">
        <w:rPr>
          <w:lang w:val="en-US"/>
        </w:rPr>
        <w:t>See the explanatory mem</w:t>
      </w:r>
      <w:r>
        <w:rPr>
          <w:lang w:val="en-US"/>
        </w:rPr>
        <w:t>orandum of the German government, Bundestags-Drucksache No. 18/4347, p. 137-138.</w:t>
      </w:r>
    </w:p>
  </w:footnote>
  <w:footnote w:id="350">
    <w:p w14:paraId="464EF69A" w14:textId="0A80757E" w:rsidR="00D81F47" w:rsidRPr="0033147B" w:rsidRDefault="00D81F47">
      <w:pPr>
        <w:pStyle w:val="Funotentext"/>
        <w:rPr>
          <w:lang w:val="en-GB"/>
        </w:rPr>
      </w:pPr>
      <w:r>
        <w:rPr>
          <w:rStyle w:val="Funotenzeichen"/>
        </w:rPr>
        <w:footnoteRef/>
      </w:r>
      <w:r w:rsidRPr="0033147B">
        <w:rPr>
          <w:lang w:val="en-GB"/>
        </w:rPr>
        <w:t xml:space="preserve"> Higher Regional Court München, decision of 8 March 2013 – 1 Ws 84/13 and 88/13, (2013) </w:t>
      </w:r>
      <w:r w:rsidRPr="0033147B">
        <w:rPr>
          <w:i/>
          <w:lang w:val="en-GB"/>
        </w:rPr>
        <w:t xml:space="preserve">Neue Zeitschrift für Strafrecht – Rechtsprechungsreport, </w:t>
      </w:r>
      <w:r w:rsidRPr="0033147B">
        <w:rPr>
          <w:lang w:val="en-GB"/>
        </w:rPr>
        <w:t xml:space="preserve">211; Higher Regional Court Braunschweig, decision of 18 November 2013 – 1 Ws 333/13, (2013) </w:t>
      </w:r>
      <w:r w:rsidRPr="0033147B">
        <w:rPr>
          <w:i/>
          <w:lang w:val="en-GB"/>
        </w:rPr>
        <w:t xml:space="preserve">BeckRS, </w:t>
      </w:r>
      <w:r w:rsidRPr="0033147B">
        <w:rPr>
          <w:lang w:val="en-GB"/>
        </w:rPr>
        <w:t>20361.</w:t>
      </w:r>
    </w:p>
  </w:footnote>
  <w:footnote w:id="351">
    <w:p w14:paraId="3DCDDC94" w14:textId="7BA0233C" w:rsidR="00D81F47" w:rsidRPr="00AD2A9D" w:rsidRDefault="00D81F47" w:rsidP="00487AD5">
      <w:pPr>
        <w:pStyle w:val="Funotentext"/>
        <w:rPr>
          <w:lang w:val="en-US"/>
        </w:rPr>
      </w:pPr>
      <w:r>
        <w:rPr>
          <w:rStyle w:val="Funotenzeichen"/>
        </w:rPr>
        <w:footnoteRef/>
      </w:r>
      <w:r w:rsidRPr="0033147B">
        <w:rPr>
          <w:lang w:val="en-GB"/>
        </w:rPr>
        <w:t xml:space="preserve"> </w:t>
      </w:r>
      <w:r w:rsidRPr="00AD2A9D">
        <w:rPr>
          <w:lang w:val="en-US"/>
        </w:rPr>
        <w:t>District Court</w:t>
      </w:r>
      <w:r>
        <w:rPr>
          <w:lang w:val="en-US"/>
        </w:rPr>
        <w:t xml:space="preserve"> (interview)</w:t>
      </w:r>
      <w:r w:rsidRPr="00AD2A9D">
        <w:rPr>
          <w:lang w:val="en-US"/>
        </w:rPr>
        <w:t>.</w:t>
      </w:r>
    </w:p>
  </w:footnote>
  <w:footnote w:id="352">
    <w:p w14:paraId="2257D548" w14:textId="7BF80627" w:rsidR="00D81F47" w:rsidRPr="0033147B" w:rsidRDefault="00D81F47">
      <w:pPr>
        <w:pStyle w:val="Funotentext"/>
        <w:rPr>
          <w:lang w:val="en-GB"/>
        </w:rPr>
      </w:pPr>
      <w:r>
        <w:rPr>
          <w:rStyle w:val="Funotenzeichen"/>
        </w:rPr>
        <w:footnoteRef/>
      </w:r>
      <w:r w:rsidRPr="0033147B">
        <w:rPr>
          <w:lang w:val="en-GB"/>
        </w:rPr>
        <w:t xml:space="preserve"> COM (2014) 47 final, p. 8;</w:t>
      </w:r>
      <w:r w:rsidRPr="006456FD">
        <w:rPr>
          <w:lang w:val="en-US"/>
        </w:rPr>
        <w:t xml:space="preserve"> explanatory memorandum of the German government, Bundestags-Drucksache No. 18/4347, p. 189; Hackner</w:t>
      </w:r>
      <w:r>
        <w:rPr>
          <w:lang w:val="en-US"/>
        </w:rPr>
        <w:t xml:space="preserve"> and </w:t>
      </w:r>
      <w:r w:rsidRPr="006456FD">
        <w:rPr>
          <w:lang w:val="en-US"/>
        </w:rPr>
        <w:t>Schierholt</w:t>
      </w:r>
      <w:r>
        <w:rPr>
          <w:lang w:val="en-US"/>
        </w:rPr>
        <w:t>,</w:t>
      </w:r>
      <w:r w:rsidRPr="006456FD">
        <w:rPr>
          <w:lang w:val="en-US"/>
        </w:rPr>
        <w:t xml:space="preserve"> </w:t>
      </w:r>
      <w:r w:rsidRPr="006456FD">
        <w:rPr>
          <w:i/>
          <w:lang w:val="en-US"/>
        </w:rPr>
        <w:t>Internationale Rechtshilfe in Strafsachen</w:t>
      </w:r>
      <w:r w:rsidRPr="006456FD">
        <w:rPr>
          <w:lang w:val="en-US"/>
        </w:rPr>
        <w:t xml:space="preserve"> </w:t>
      </w:r>
      <w:r w:rsidRPr="0033147B">
        <w:rPr>
          <w:lang w:val="en-GB"/>
        </w:rPr>
        <w:t>4th</w:t>
      </w:r>
      <w:r w:rsidRPr="006456FD">
        <w:rPr>
          <w:lang w:val="en-US"/>
        </w:rPr>
        <w:t xml:space="preserve"> ed</w:t>
      </w:r>
      <w:r>
        <w:rPr>
          <w:lang w:val="en-US"/>
        </w:rPr>
        <w:t>.</w:t>
      </w:r>
      <w:r w:rsidRPr="006456FD">
        <w:rPr>
          <w:lang w:val="en-US"/>
        </w:rPr>
        <w:t xml:space="preserve"> (C.H. Beck, 2023), para 737.</w:t>
      </w:r>
    </w:p>
  </w:footnote>
  <w:footnote w:id="353">
    <w:p w14:paraId="79C4FC33" w14:textId="77777777" w:rsidR="00D81F47" w:rsidRPr="0033147B" w:rsidRDefault="00D81F47" w:rsidP="00610EE4">
      <w:pPr>
        <w:pStyle w:val="Funotentext"/>
        <w:rPr>
          <w:lang w:val="en-GB"/>
        </w:rPr>
      </w:pPr>
      <w:r>
        <w:rPr>
          <w:rStyle w:val="Funotenzeichen"/>
        </w:rPr>
        <w:footnoteRef/>
      </w:r>
      <w:r w:rsidRPr="0033147B">
        <w:rPr>
          <w:lang w:val="en-GB"/>
        </w:rPr>
        <w:t xml:space="preserve"> </w:t>
      </w:r>
      <w:r w:rsidRPr="000166A1">
        <w:rPr>
          <w:lang w:val="en-US"/>
        </w:rPr>
        <w:t>See the explanatory mem</w:t>
      </w:r>
      <w:r>
        <w:rPr>
          <w:lang w:val="en-US"/>
        </w:rPr>
        <w:t>orandum of the German government, Bundestags-Drucksache No. 18/4347, p. 189.</w:t>
      </w:r>
    </w:p>
  </w:footnote>
  <w:footnote w:id="354">
    <w:p w14:paraId="60D65A54" w14:textId="01C861E8" w:rsidR="00D81F47" w:rsidRPr="00CB796C" w:rsidRDefault="00D81F47" w:rsidP="00972DDE">
      <w:pPr>
        <w:pStyle w:val="Funotentext"/>
        <w:rPr>
          <w:lang w:val="en-US"/>
        </w:rPr>
      </w:pPr>
      <w:r>
        <w:rPr>
          <w:rStyle w:val="Funotenzeichen"/>
        </w:rPr>
        <w:footnoteRef/>
      </w:r>
      <w:r w:rsidRPr="0033147B">
        <w:rPr>
          <w:lang w:val="en-GB"/>
        </w:rPr>
        <w:t xml:space="preserve"> </w:t>
      </w:r>
      <w:r w:rsidRPr="000166A1">
        <w:rPr>
          <w:lang w:val="en-US"/>
        </w:rPr>
        <w:t>See the explanatory mem</w:t>
      </w:r>
      <w:r>
        <w:rPr>
          <w:lang w:val="en-US"/>
        </w:rPr>
        <w:t xml:space="preserve">orandum of the German government, Bundestags-Drucksache No. 18/4347, p. 188; </w:t>
      </w:r>
      <w:r w:rsidRPr="0033147B">
        <w:rPr>
          <w:lang w:val="en-GB"/>
        </w:rPr>
        <w:t>Hackner</w:t>
      </w:r>
      <w:r>
        <w:rPr>
          <w:lang w:val="en-US"/>
        </w:rPr>
        <w:t>,</w:t>
      </w:r>
      <w:r w:rsidRPr="0033147B">
        <w:rPr>
          <w:lang w:val="en-GB"/>
        </w:rPr>
        <w:t xml:space="preserve"> </w:t>
      </w:r>
      <w:r>
        <w:rPr>
          <w:lang w:val="en-US"/>
        </w:rPr>
        <w:t>“</w:t>
      </w:r>
      <w:r w:rsidRPr="00CB796C">
        <w:rPr>
          <w:lang w:val="en-US"/>
        </w:rPr>
        <w:t>§ 90l</w:t>
      </w:r>
      <w:r>
        <w:rPr>
          <w:lang w:val="en-US"/>
        </w:rPr>
        <w:t>”</w:t>
      </w:r>
      <w:r w:rsidRPr="00CB796C">
        <w:rPr>
          <w:lang w:val="en-US"/>
        </w:rPr>
        <w:t xml:space="preserve"> in Schomburg/Lagodny</w:t>
      </w:r>
      <w:r>
        <w:rPr>
          <w:lang w:val="en-US"/>
        </w:rPr>
        <w:t xml:space="preserve"> (Eds.)</w:t>
      </w:r>
      <w:r w:rsidRPr="0033147B">
        <w:rPr>
          <w:lang w:val="en-GB"/>
        </w:rPr>
        <w:t xml:space="preserve">, </w:t>
      </w:r>
      <w:r w:rsidRPr="0033147B">
        <w:rPr>
          <w:i/>
          <w:lang w:val="en-GB"/>
        </w:rPr>
        <w:t>Internationale Rechtshilfe in Strafsachen</w:t>
      </w:r>
      <w:r w:rsidRPr="0033147B">
        <w:rPr>
          <w:lang w:val="en-GB"/>
        </w:rPr>
        <w:t>, 6th ed</w:t>
      </w:r>
      <w:r>
        <w:rPr>
          <w:lang w:val="en-US"/>
        </w:rPr>
        <w:t>.</w:t>
      </w:r>
      <w:r w:rsidRPr="00CB796C">
        <w:rPr>
          <w:lang w:val="en-US"/>
        </w:rPr>
        <w:t xml:space="preserve"> (C.H. Beck, 2020), para 7.</w:t>
      </w:r>
    </w:p>
  </w:footnote>
  <w:footnote w:id="355">
    <w:p w14:paraId="1658C95B" w14:textId="2804D07C" w:rsidR="00D81F47" w:rsidRPr="00CB796C" w:rsidRDefault="00D81F47">
      <w:pPr>
        <w:pStyle w:val="Funotentext"/>
        <w:rPr>
          <w:lang w:val="en-US"/>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 xml:space="preserve">Public Prosecutor’s Office </w:t>
      </w:r>
      <w:r>
        <w:rPr>
          <w:rFonts w:asciiTheme="majorBidi" w:hAnsiTheme="majorBidi" w:cstheme="majorBidi"/>
          <w:color w:val="000000" w:themeColor="text1"/>
          <w:lang w:val="en-US"/>
        </w:rPr>
        <w:t>III</w:t>
      </w:r>
      <w:r w:rsidRPr="00A87040">
        <w:rPr>
          <w:rFonts w:asciiTheme="majorBidi" w:hAnsiTheme="majorBidi" w:cstheme="majorBidi"/>
          <w:color w:val="000000" w:themeColor="text1"/>
          <w:lang w:val="en-US"/>
        </w:rPr>
        <w:t xml:space="preserve"> (interview)</w:t>
      </w:r>
      <w:r>
        <w:rPr>
          <w:rFonts w:asciiTheme="majorBidi" w:hAnsiTheme="majorBidi" w:cstheme="majorBidi"/>
          <w:color w:val="000000" w:themeColor="text1"/>
          <w:lang w:val="en-US"/>
        </w:rPr>
        <w:t xml:space="preserve">. </w:t>
      </w:r>
    </w:p>
  </w:footnote>
  <w:footnote w:id="356">
    <w:p w14:paraId="679A77A8" w14:textId="7C620C7F" w:rsidR="00D81F47" w:rsidRPr="0033147B" w:rsidRDefault="00D81F47" w:rsidP="00972DDE">
      <w:pPr>
        <w:pStyle w:val="Funotentext"/>
        <w:rPr>
          <w:lang w:val="en-GB"/>
        </w:rPr>
      </w:pPr>
      <w:r>
        <w:rPr>
          <w:rStyle w:val="Funotenzeichen"/>
        </w:rPr>
        <w:footnoteRef/>
      </w:r>
      <w:r w:rsidRPr="0033147B">
        <w:rPr>
          <w:lang w:val="en-GB"/>
        </w:rPr>
        <w:t xml:space="preserve"> Federal Court of Justice, Judgment of 19 October 1976 – 1 StR 154/76, (1977) </w:t>
      </w:r>
      <w:r w:rsidRPr="0033147B">
        <w:rPr>
          <w:i/>
          <w:lang w:val="en-GB"/>
        </w:rPr>
        <w:t xml:space="preserve">Goltdammers Archiv, </w:t>
      </w:r>
      <w:r w:rsidRPr="0033147B">
        <w:rPr>
          <w:lang w:val="en-GB"/>
        </w:rPr>
        <w:t xml:space="preserve">110 (at 111); Judgment of 10 June 1999 – 4 StR 87-98, (1999) </w:t>
      </w:r>
      <w:r w:rsidRPr="0033147B">
        <w:rPr>
          <w:i/>
          <w:lang w:val="en-GB"/>
        </w:rPr>
        <w:t xml:space="preserve">Neue Zeitschrift für Strafrecht, </w:t>
      </w:r>
      <w:r w:rsidRPr="0033147B">
        <w:rPr>
          <w:lang w:val="en-GB"/>
        </w:rPr>
        <w:t xml:space="preserve">579 (at 580); Böse, </w:t>
      </w:r>
      <w:r w:rsidRPr="0033147B">
        <w:rPr>
          <w:i/>
          <w:lang w:val="en-GB"/>
        </w:rPr>
        <w:t xml:space="preserve">Übertragung und Übernahme der Strafverfolgung </w:t>
      </w:r>
      <w:r w:rsidRPr="0033147B">
        <w:rPr>
          <w:lang w:val="en-GB"/>
        </w:rPr>
        <w:t>(Nomos, 2023), p. 36, with further references.</w:t>
      </w:r>
    </w:p>
  </w:footnote>
  <w:footnote w:id="357">
    <w:p w14:paraId="69C3F666" w14:textId="7DAF1E24" w:rsidR="00D81F47" w:rsidRPr="0033147B" w:rsidRDefault="00D81F47">
      <w:pPr>
        <w:pStyle w:val="Funotentext"/>
        <w:rPr>
          <w:lang w:val="en-GB"/>
        </w:rPr>
      </w:pPr>
      <w:r>
        <w:rPr>
          <w:rStyle w:val="Funotenzeichen"/>
        </w:rPr>
        <w:footnoteRef/>
      </w:r>
      <w:r w:rsidRPr="0033147B">
        <w:rPr>
          <w:lang w:val="en-GB"/>
        </w:rPr>
        <w:t xml:space="preserve"> Defence Lawyer </w:t>
      </w:r>
      <w:r>
        <w:rPr>
          <w:lang w:val="en-GB"/>
        </w:rPr>
        <w:t>II</w:t>
      </w:r>
      <w:r w:rsidRPr="0033147B">
        <w:rPr>
          <w:lang w:val="en-GB"/>
        </w:rPr>
        <w:t xml:space="preserve"> (interview).</w:t>
      </w:r>
    </w:p>
  </w:footnote>
  <w:footnote w:id="358">
    <w:p w14:paraId="0F85678F" w14:textId="55CF51FB" w:rsidR="00D81F47" w:rsidRPr="0033147B" w:rsidRDefault="00D81F47">
      <w:pPr>
        <w:pStyle w:val="Funotentext"/>
        <w:rPr>
          <w:lang w:val="en-GB"/>
        </w:rPr>
      </w:pPr>
      <w:r>
        <w:rPr>
          <w:rStyle w:val="Funotenzeichen"/>
        </w:rPr>
        <w:footnoteRef/>
      </w:r>
      <w:r w:rsidRPr="0033147B">
        <w:rPr>
          <w:lang w:val="en-GB"/>
        </w:rPr>
        <w:t xml:space="preserve"> See Böse and Wahl, “Country Report Germany” in Albers/Beauvais/Bohnert/Böse/Langbroek/Renier/Wahl (Eds.), </w:t>
      </w:r>
      <w:r w:rsidRPr="0033147B">
        <w:rPr>
          <w:i/>
          <w:lang w:val="en-GB"/>
        </w:rPr>
        <w:t>Towards a common evaluation fram</w:t>
      </w:r>
      <w:r>
        <w:rPr>
          <w:i/>
          <w:lang w:val="en-GB"/>
        </w:rPr>
        <w:t>e</w:t>
      </w:r>
      <w:r w:rsidRPr="0033147B">
        <w:rPr>
          <w:i/>
          <w:lang w:val="en-GB"/>
        </w:rPr>
        <w:t xml:space="preserve">work to assess mutual trust in the field of EU judicial cooperation in criminal matters, </w:t>
      </w:r>
      <w:r w:rsidRPr="0033147B">
        <w:rPr>
          <w:lang w:val="en-GB"/>
        </w:rPr>
        <w:t>(the Hague, 2013), p. 212 (at 224)</w:t>
      </w:r>
      <w:r>
        <w:rPr>
          <w:lang w:val="en-GB"/>
        </w:rPr>
        <w:t>.</w:t>
      </w:r>
    </w:p>
  </w:footnote>
  <w:footnote w:id="359">
    <w:p w14:paraId="281F6BDE" w14:textId="77777777" w:rsidR="00D81F47" w:rsidRPr="00133703" w:rsidRDefault="00D81F47" w:rsidP="00842A7D">
      <w:pPr>
        <w:pStyle w:val="Funotentext"/>
        <w:jc w:val="both"/>
        <w:rPr>
          <w:lang w:val="en-GB"/>
        </w:rPr>
      </w:pPr>
      <w:r w:rsidRPr="005E505E">
        <w:rPr>
          <w:rStyle w:val="Funotenzeichen"/>
        </w:rPr>
        <w:footnoteRef/>
      </w:r>
      <w:r w:rsidRPr="00133703">
        <w:rPr>
          <w:lang w:val="en-GB"/>
        </w:rPr>
        <w:t xml:space="preserve"> </w:t>
      </w:r>
      <w:r>
        <w:rPr>
          <w:lang w:val="en-GB"/>
        </w:rPr>
        <w:t>So this chapter is, unlike the chapters 2 and 3, not about applying instruments itself but about anticipating possible problems in the future with applying instruments.</w:t>
      </w:r>
    </w:p>
  </w:footnote>
  <w:footnote w:id="360">
    <w:p w14:paraId="5879D8EC" w14:textId="77777777" w:rsidR="00D81F47" w:rsidRPr="007B160C" w:rsidRDefault="00D81F47" w:rsidP="00842A7D">
      <w:pPr>
        <w:pStyle w:val="Funotentext"/>
        <w:jc w:val="both"/>
        <w:rPr>
          <w:lang w:val="en-GB"/>
        </w:rPr>
      </w:pPr>
      <w:r w:rsidRPr="005E505E">
        <w:rPr>
          <w:rStyle w:val="Funotenzeichen"/>
        </w:rPr>
        <w:footnoteRef/>
      </w:r>
      <w:r w:rsidRPr="007B160C">
        <w:rPr>
          <w:lang w:val="en-GB"/>
        </w:rPr>
        <w:t xml:space="preserve"> We invite the NARs to </w:t>
      </w:r>
      <w:r>
        <w:rPr>
          <w:lang w:val="en-GB"/>
        </w:rPr>
        <w:t xml:space="preserve">identify and include other issues. </w:t>
      </w:r>
    </w:p>
  </w:footnote>
  <w:footnote w:id="361">
    <w:p w14:paraId="6EC4B695" w14:textId="48596E68" w:rsidR="00D81F47" w:rsidRPr="00777A20" w:rsidRDefault="00D81F47" w:rsidP="00842A7D">
      <w:pPr>
        <w:pStyle w:val="Funotentext"/>
        <w:jc w:val="both"/>
        <w:rPr>
          <w:lang w:val="en-GB"/>
        </w:rPr>
      </w:pPr>
      <w:r>
        <w:rPr>
          <w:rStyle w:val="Funotenzeichen"/>
        </w:rPr>
        <w:footnoteRef/>
      </w:r>
      <w:r w:rsidRPr="00777A20">
        <w:rPr>
          <w:lang w:val="en-GB"/>
        </w:rPr>
        <w:t xml:space="preserve"> </w:t>
      </w:r>
      <w:r>
        <w:rPr>
          <w:lang w:val="en-GB"/>
        </w:rPr>
        <w:t xml:space="preserve">See the definition of both in Art. 2(3) and (5) of FD 2008/947/JHA.  </w:t>
      </w:r>
    </w:p>
  </w:footnote>
  <w:footnote w:id="362">
    <w:p w14:paraId="7E5956A0" w14:textId="3047DDF6" w:rsidR="00D81F47" w:rsidRPr="00777A20" w:rsidRDefault="00D81F47" w:rsidP="00842A7D">
      <w:pPr>
        <w:pStyle w:val="Funotentext"/>
        <w:jc w:val="both"/>
        <w:rPr>
          <w:lang w:val="en-GB"/>
        </w:rPr>
      </w:pPr>
      <w:r>
        <w:rPr>
          <w:rStyle w:val="Funotenzeichen"/>
        </w:rPr>
        <w:footnoteRef/>
      </w:r>
      <w:r w:rsidRPr="00777A20">
        <w:rPr>
          <w:lang w:val="en-GB"/>
        </w:rPr>
        <w:t xml:space="preserve"> </w:t>
      </w:r>
      <w:r>
        <w:rPr>
          <w:lang w:val="en-GB"/>
        </w:rPr>
        <w:t>See the definition in Art. 2(4) of FD 2008/947/JHA.</w:t>
      </w:r>
    </w:p>
  </w:footnote>
  <w:footnote w:id="363">
    <w:p w14:paraId="10EED7F0" w14:textId="7A7738CC" w:rsidR="00D81F47" w:rsidRPr="00EE04F1" w:rsidRDefault="00D81F47" w:rsidP="00F363AF">
      <w:pPr>
        <w:pStyle w:val="Funotentext"/>
        <w:rPr>
          <w:lang w:val="de-DE"/>
        </w:rPr>
      </w:pPr>
      <w:r>
        <w:rPr>
          <w:rStyle w:val="Funotenzeichen"/>
        </w:rPr>
        <w:footnoteRef/>
      </w:r>
      <w:r w:rsidRPr="00EE04F1">
        <w:rPr>
          <w:lang w:val="de-DE"/>
        </w:rPr>
        <w:t xml:space="preserve"> Graf von Luckner, “Anmerkung zu EuGH (1. Kammer), Urt. v. 26.3.2020 – C-2/19”, (2020) </w:t>
      </w:r>
      <w:r w:rsidRPr="00EE04F1">
        <w:rPr>
          <w:i/>
          <w:lang w:val="de-DE"/>
        </w:rPr>
        <w:t xml:space="preserve">Neue Zeitschrift für Strafrecht, </w:t>
      </w:r>
      <w:r w:rsidRPr="00EE04F1">
        <w:rPr>
          <w:lang w:val="de-DE"/>
        </w:rPr>
        <w:t xml:space="preserve">688 (at 689); </w:t>
      </w:r>
      <w:r w:rsidRPr="00AB7FF9">
        <w:rPr>
          <w:lang w:val="de-DE"/>
        </w:rPr>
        <w:t>Rothärmel</w:t>
      </w:r>
      <w:r>
        <w:rPr>
          <w:lang w:val="de-DE"/>
        </w:rPr>
        <w:t>,</w:t>
      </w:r>
      <w:r w:rsidRPr="00AB7FF9">
        <w:rPr>
          <w:lang w:val="de-DE"/>
        </w:rPr>
        <w:t xml:space="preserve"> </w:t>
      </w:r>
      <w:r>
        <w:rPr>
          <w:lang w:val="de-DE"/>
        </w:rPr>
        <w:t>“</w:t>
      </w:r>
      <w:r w:rsidRPr="00AB7FF9">
        <w:rPr>
          <w:lang w:val="de-DE"/>
        </w:rPr>
        <w:t>Die grenzüberschreitende Abgabe und Übernahme der Bewährungsüberwachung n</w:t>
      </w:r>
      <w:r>
        <w:rPr>
          <w:lang w:val="de-DE"/>
        </w:rPr>
        <w:t xml:space="preserve">ach Umsetzung des Rahmenbeschlusses 2008/947/JI unter Berücksichtigung von Besonderheiten des Jugendstrafrechts“, (2016) </w:t>
      </w:r>
      <w:r w:rsidRPr="00670608">
        <w:rPr>
          <w:i/>
          <w:lang w:val="de-DE"/>
        </w:rPr>
        <w:t>Zeitschrift für Jugendkriminalrecht und Jugendhilfe</w:t>
      </w:r>
      <w:r>
        <w:rPr>
          <w:i/>
          <w:lang w:val="de-DE"/>
        </w:rPr>
        <w:t>,</w:t>
      </w:r>
      <w:r>
        <w:rPr>
          <w:lang w:val="de-DE"/>
        </w:rPr>
        <w:t xml:space="preserve"> 232 (at 234); </w:t>
      </w:r>
      <w:r w:rsidRPr="00EE04F1">
        <w:rPr>
          <w:lang w:val="de-DE"/>
        </w:rPr>
        <w:t xml:space="preserve">Staudigl and Weber, “Europäische Bewährungsüberwachung”, (2008) </w:t>
      </w:r>
      <w:r w:rsidRPr="00EE04F1">
        <w:rPr>
          <w:i/>
          <w:lang w:val="de-DE"/>
        </w:rPr>
        <w:t xml:space="preserve">Neue Zeitschrift für Strafrecht, </w:t>
      </w:r>
      <w:r w:rsidRPr="00EE04F1">
        <w:rPr>
          <w:lang w:val="de-DE"/>
        </w:rPr>
        <w:t>17 (at 18).</w:t>
      </w:r>
    </w:p>
  </w:footnote>
  <w:footnote w:id="364">
    <w:p w14:paraId="35DEC36B" w14:textId="375CEDE0" w:rsidR="00D81F47" w:rsidRPr="003A1A9D" w:rsidRDefault="00D81F47" w:rsidP="00F363AF">
      <w:pPr>
        <w:pStyle w:val="Funotentext"/>
        <w:rPr>
          <w:lang w:val="en-US"/>
        </w:rPr>
      </w:pPr>
      <w:r>
        <w:rPr>
          <w:rStyle w:val="Funotenzeichen"/>
        </w:rPr>
        <w:footnoteRef/>
      </w:r>
      <w:r w:rsidRPr="0033147B">
        <w:rPr>
          <w:lang w:val="en-GB"/>
        </w:rPr>
        <w:t xml:space="preserve"> Federal Court of Justice, decision of 3 May 2011 - </w:t>
      </w:r>
      <w:r w:rsidRPr="003A1A9D">
        <w:rPr>
          <w:lang w:val="en-US"/>
        </w:rPr>
        <w:t xml:space="preserve">5 StR 123/11, </w:t>
      </w:r>
      <w:r>
        <w:rPr>
          <w:lang w:val="en-US"/>
        </w:rPr>
        <w:t xml:space="preserve">(2011) </w:t>
      </w:r>
      <w:r w:rsidRPr="003A1A9D">
        <w:rPr>
          <w:i/>
          <w:lang w:val="en-US"/>
        </w:rPr>
        <w:t>BeckRS</w:t>
      </w:r>
      <w:r>
        <w:rPr>
          <w:i/>
          <w:lang w:val="en-US"/>
        </w:rPr>
        <w:t>,</w:t>
      </w:r>
      <w:r w:rsidRPr="003A1A9D">
        <w:rPr>
          <w:lang w:val="en-US"/>
        </w:rPr>
        <w:t xml:space="preserve"> 13560</w:t>
      </w:r>
      <w:r>
        <w:rPr>
          <w:lang w:val="en-US"/>
        </w:rPr>
        <w:t>.</w:t>
      </w:r>
    </w:p>
  </w:footnote>
  <w:footnote w:id="365">
    <w:p w14:paraId="17AE846F" w14:textId="4C719FDF" w:rsidR="00D81F47" w:rsidRPr="0033147B" w:rsidRDefault="00D81F47">
      <w:pPr>
        <w:pStyle w:val="Funotentext"/>
        <w:rPr>
          <w:lang w:val="en-GB"/>
        </w:rPr>
      </w:pPr>
      <w:r>
        <w:rPr>
          <w:rStyle w:val="Funotenzeichen"/>
        </w:rPr>
        <w:footnoteRef/>
      </w:r>
      <w:r w:rsidRPr="0033147B">
        <w:rPr>
          <w:lang w:val="en-GB"/>
        </w:rPr>
        <w:t xml:space="preserve"> District Court (interview).</w:t>
      </w:r>
    </w:p>
  </w:footnote>
  <w:footnote w:id="366">
    <w:p w14:paraId="3DFBA04F" w14:textId="2C898536" w:rsidR="00D81F47" w:rsidRPr="0033147B" w:rsidRDefault="00D81F47" w:rsidP="00F363AF">
      <w:pPr>
        <w:pStyle w:val="Funotentext"/>
        <w:rPr>
          <w:lang w:val="en-GB"/>
        </w:rPr>
      </w:pPr>
      <w:r>
        <w:rPr>
          <w:rStyle w:val="Funotenzeichen"/>
        </w:rPr>
        <w:footnoteRef/>
      </w:r>
      <w:r w:rsidRPr="0033147B">
        <w:rPr>
          <w:lang w:val="en-GB"/>
        </w:rPr>
        <w:t xml:space="preserve"> Higher Regional Court München, decision of 8 March 2013 – 1 Ws 84/13 and 88/13, </w:t>
      </w:r>
      <w:r>
        <w:rPr>
          <w:lang w:val="en-US"/>
        </w:rPr>
        <w:t>(</w:t>
      </w:r>
      <w:r w:rsidRPr="0033147B">
        <w:rPr>
          <w:lang w:val="en-GB"/>
        </w:rPr>
        <w:t>2013</w:t>
      </w:r>
      <w:r>
        <w:rPr>
          <w:lang w:val="en-US"/>
        </w:rPr>
        <w:t>)</w:t>
      </w:r>
      <w:r w:rsidRPr="0033147B">
        <w:rPr>
          <w:lang w:val="en-GB"/>
        </w:rPr>
        <w:t xml:space="preserve"> </w:t>
      </w:r>
      <w:r w:rsidRPr="0033147B">
        <w:rPr>
          <w:i/>
          <w:lang w:val="en-GB"/>
        </w:rPr>
        <w:t>Neue Zeitschrift für Strafrecht – Rechtsprechungsreport</w:t>
      </w:r>
      <w:r>
        <w:rPr>
          <w:i/>
          <w:lang w:val="en-US"/>
        </w:rPr>
        <w:t>,</w:t>
      </w:r>
      <w:r w:rsidRPr="0033147B">
        <w:rPr>
          <w:i/>
          <w:lang w:val="en-GB"/>
        </w:rPr>
        <w:t xml:space="preserve"> </w:t>
      </w:r>
      <w:r w:rsidRPr="0033147B">
        <w:rPr>
          <w:lang w:val="en-GB"/>
        </w:rPr>
        <w:t xml:space="preserve">211; Higher Regional Court Braunschweig, decision of 18 November 2013 – 1 Ws 333/13, </w:t>
      </w:r>
      <w:r>
        <w:rPr>
          <w:lang w:val="en-US"/>
        </w:rPr>
        <w:t>(</w:t>
      </w:r>
      <w:r w:rsidRPr="0033147B">
        <w:rPr>
          <w:lang w:val="en-GB"/>
        </w:rPr>
        <w:t>2013</w:t>
      </w:r>
      <w:r>
        <w:rPr>
          <w:lang w:val="en-US"/>
        </w:rPr>
        <w:t>)</w:t>
      </w:r>
      <w:r w:rsidRPr="0033147B">
        <w:rPr>
          <w:lang w:val="en-GB"/>
        </w:rPr>
        <w:t xml:space="preserve"> </w:t>
      </w:r>
      <w:r w:rsidRPr="0033147B">
        <w:rPr>
          <w:i/>
          <w:lang w:val="en-GB"/>
        </w:rPr>
        <w:t>BeckRS</w:t>
      </w:r>
      <w:r>
        <w:rPr>
          <w:i/>
          <w:lang w:val="en-US"/>
        </w:rPr>
        <w:t>,</w:t>
      </w:r>
      <w:r w:rsidRPr="0033147B">
        <w:rPr>
          <w:i/>
          <w:lang w:val="en-GB"/>
        </w:rPr>
        <w:t xml:space="preserve"> </w:t>
      </w:r>
      <w:r w:rsidRPr="0033147B">
        <w:rPr>
          <w:lang w:val="en-GB"/>
        </w:rPr>
        <w:t>20361; both referring to the obligation to interpret national law in conformity with EU law.</w:t>
      </w:r>
    </w:p>
  </w:footnote>
  <w:footnote w:id="367">
    <w:p w14:paraId="6DD5647B" w14:textId="5F90A02E" w:rsidR="00D81F47" w:rsidRPr="0033147B" w:rsidRDefault="00D81F47">
      <w:pPr>
        <w:pStyle w:val="Funotentext"/>
        <w:rPr>
          <w:lang w:val="en-GB"/>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Federal Ministry of Justice (interview)</w:t>
      </w:r>
      <w:r w:rsidRPr="0033147B">
        <w:rPr>
          <w:lang w:val="en-GB"/>
        </w:rPr>
        <w:t xml:space="preserve">; </w:t>
      </w:r>
      <w:r w:rsidRPr="00A87040">
        <w:rPr>
          <w:rFonts w:asciiTheme="majorBidi" w:hAnsiTheme="majorBidi" w:cstheme="majorBidi"/>
          <w:color w:val="000000" w:themeColor="text1"/>
          <w:lang w:val="en-US"/>
        </w:rPr>
        <w:t xml:space="preserve">Public Prosecutor’s Office </w:t>
      </w:r>
      <w:r>
        <w:rPr>
          <w:rFonts w:asciiTheme="majorBidi" w:hAnsiTheme="majorBidi" w:cstheme="majorBidi"/>
          <w:color w:val="000000" w:themeColor="text1"/>
          <w:lang w:val="en-US"/>
        </w:rPr>
        <w:t>III</w:t>
      </w:r>
      <w:r w:rsidRPr="00A87040">
        <w:rPr>
          <w:rFonts w:asciiTheme="majorBidi" w:hAnsiTheme="majorBidi" w:cstheme="majorBidi"/>
          <w:color w:val="000000" w:themeColor="text1"/>
          <w:lang w:val="en-US"/>
        </w:rPr>
        <w:t xml:space="preserve"> (interview)</w:t>
      </w:r>
      <w:r w:rsidRPr="0033147B">
        <w:rPr>
          <w:lang w:val="en-GB"/>
        </w:rPr>
        <w:t>; Defence Lawyer I (interview).</w:t>
      </w:r>
    </w:p>
  </w:footnote>
  <w:footnote w:id="368">
    <w:p w14:paraId="65C1573E" w14:textId="4A5DE598" w:rsidR="00D81F47" w:rsidRPr="0033147B" w:rsidRDefault="00D81F47">
      <w:pPr>
        <w:pStyle w:val="Funotentext"/>
        <w:rPr>
          <w:lang w:val="en-GB"/>
        </w:rPr>
      </w:pPr>
      <w:r>
        <w:rPr>
          <w:rStyle w:val="Funotenzeichen"/>
        </w:rPr>
        <w:footnoteRef/>
      </w:r>
      <w:r w:rsidRPr="0033147B">
        <w:rPr>
          <w:lang w:val="en-GB"/>
        </w:rPr>
        <w:t xml:space="preserve"> Defence Lawyer </w:t>
      </w:r>
      <w:r>
        <w:rPr>
          <w:lang w:val="en-GB"/>
        </w:rPr>
        <w:t>I</w:t>
      </w:r>
      <w:r w:rsidRPr="0033147B">
        <w:rPr>
          <w:lang w:val="en-GB"/>
        </w:rPr>
        <w:t>II (interview).</w:t>
      </w:r>
    </w:p>
  </w:footnote>
  <w:footnote w:id="369">
    <w:p w14:paraId="7941D8A1" w14:textId="035EF412" w:rsidR="00D81F47" w:rsidRPr="0033147B" w:rsidRDefault="00D81F47" w:rsidP="00F363AF">
      <w:pPr>
        <w:pStyle w:val="Funotentext"/>
        <w:rPr>
          <w:lang w:val="en-GB"/>
        </w:rPr>
      </w:pPr>
      <w:r>
        <w:rPr>
          <w:rStyle w:val="Funotenzeichen"/>
        </w:rPr>
        <w:footnoteRef/>
      </w:r>
      <w:r w:rsidRPr="0033147B">
        <w:rPr>
          <w:lang w:val="en-GB"/>
        </w:rPr>
        <w:t xml:space="preserve"> District Court Trier, decision of 21 November 2021 – 8031 Js 24537/20, (2021) </w:t>
      </w:r>
      <w:r w:rsidRPr="0033147B">
        <w:rPr>
          <w:i/>
          <w:lang w:val="en-GB"/>
        </w:rPr>
        <w:t xml:space="preserve">BeckRS, </w:t>
      </w:r>
      <w:r w:rsidRPr="0033147B">
        <w:rPr>
          <w:lang w:val="en-GB"/>
        </w:rPr>
        <w:t xml:space="preserve">37436; Fabricius,   “§ 35” in Körner/Patzak/Volkmer (Eds.), </w:t>
      </w:r>
      <w:r w:rsidRPr="0033147B">
        <w:rPr>
          <w:i/>
          <w:lang w:val="en-GB"/>
        </w:rPr>
        <w:t>BtMG</w:t>
      </w:r>
      <w:r w:rsidRPr="0033147B">
        <w:rPr>
          <w:lang w:val="en-GB"/>
        </w:rPr>
        <w:t>, 1</w:t>
      </w:r>
      <w:r>
        <w:rPr>
          <w:lang w:val="en-GB"/>
        </w:rPr>
        <w:t>1</w:t>
      </w:r>
      <w:r w:rsidRPr="0033147B">
        <w:rPr>
          <w:lang w:val="en-GB"/>
        </w:rPr>
        <w:t xml:space="preserve">th ed. </w:t>
      </w:r>
      <w:r w:rsidRPr="00EE04F1">
        <w:rPr>
          <w:lang w:val="de-DE"/>
        </w:rPr>
        <w:t>(C.H. Beck, 202</w:t>
      </w:r>
      <w:r>
        <w:rPr>
          <w:lang w:val="de-DE"/>
        </w:rPr>
        <w:t>4</w:t>
      </w:r>
      <w:r w:rsidRPr="00EE04F1">
        <w:rPr>
          <w:lang w:val="de-DE"/>
        </w:rPr>
        <w:t xml:space="preserve">), para 193, 241; Kornprobst, “§ 35 BtMG” in </w:t>
      </w:r>
      <w:r w:rsidRPr="00EE04F1">
        <w:rPr>
          <w:i/>
          <w:lang w:val="de-DE"/>
        </w:rPr>
        <w:t>Münchener Kommentar zum StGB</w:t>
      </w:r>
      <w:r w:rsidRPr="00EE04F1">
        <w:rPr>
          <w:lang w:val="de-DE"/>
        </w:rPr>
        <w:t xml:space="preserve">, </w:t>
      </w:r>
      <w:r w:rsidRPr="00EE04F1">
        <w:rPr>
          <w:i/>
          <w:lang w:val="de-DE"/>
        </w:rPr>
        <w:t xml:space="preserve">Volume 7 Nebenstrafrecht I, </w:t>
      </w:r>
      <w:r w:rsidRPr="00EE04F1">
        <w:rPr>
          <w:lang w:val="de-DE"/>
        </w:rPr>
        <w:t xml:space="preserve">4th ed. </w:t>
      </w:r>
      <w:r w:rsidRPr="0033147B">
        <w:rPr>
          <w:lang w:val="en-GB"/>
        </w:rPr>
        <w:t>(C.H. Beck, 2022), para 70.</w:t>
      </w:r>
    </w:p>
  </w:footnote>
  <w:footnote w:id="370">
    <w:p w14:paraId="6E2081D6" w14:textId="7642265B" w:rsidR="00D81F47" w:rsidRPr="0033147B" w:rsidRDefault="00D81F47" w:rsidP="00F363AF">
      <w:pPr>
        <w:pStyle w:val="Funotentext"/>
        <w:rPr>
          <w:lang w:val="en-GB"/>
        </w:rPr>
      </w:pPr>
      <w:r>
        <w:rPr>
          <w:rStyle w:val="Funotenzeichen"/>
        </w:rPr>
        <w:footnoteRef/>
      </w:r>
      <w:r w:rsidRPr="0033147B">
        <w:rPr>
          <w:lang w:val="en-GB"/>
        </w:rPr>
        <w:t xml:space="preserve"> District Court Kleve, decision of 24 February 2000 – 1 KLs 76/99, (2000) </w:t>
      </w:r>
      <w:r w:rsidRPr="0033147B">
        <w:rPr>
          <w:i/>
          <w:lang w:val="en-GB"/>
        </w:rPr>
        <w:t xml:space="preserve">Strafverteidiger, </w:t>
      </w:r>
      <w:r w:rsidRPr="0033147B">
        <w:rPr>
          <w:lang w:val="en-GB"/>
        </w:rPr>
        <w:t xml:space="preserve">325; District Court Trier, decision of 21 November 2021 – 8031 Js 24537/20, (2021) </w:t>
      </w:r>
      <w:r w:rsidRPr="0033147B">
        <w:rPr>
          <w:i/>
          <w:lang w:val="en-GB"/>
        </w:rPr>
        <w:t xml:space="preserve">BeckRS, </w:t>
      </w:r>
      <w:r w:rsidRPr="0033147B">
        <w:rPr>
          <w:lang w:val="en-GB"/>
        </w:rPr>
        <w:t>37436.</w:t>
      </w:r>
    </w:p>
  </w:footnote>
  <w:footnote w:id="371">
    <w:p w14:paraId="731D989A" w14:textId="6E38835A" w:rsidR="00D81F47" w:rsidRPr="0033147B" w:rsidRDefault="00D81F47">
      <w:pPr>
        <w:pStyle w:val="Funotentext"/>
        <w:rPr>
          <w:lang w:val="en-GB"/>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 xml:space="preserve">Public Prosecutor’s Office </w:t>
      </w:r>
      <w:r>
        <w:rPr>
          <w:rFonts w:asciiTheme="majorBidi" w:hAnsiTheme="majorBidi" w:cstheme="majorBidi"/>
          <w:color w:val="000000" w:themeColor="text1"/>
          <w:lang w:val="en-US"/>
        </w:rPr>
        <w:t>I</w:t>
      </w:r>
      <w:r w:rsidRPr="00A87040">
        <w:rPr>
          <w:rFonts w:asciiTheme="majorBidi" w:hAnsiTheme="majorBidi" w:cstheme="majorBidi"/>
          <w:color w:val="000000" w:themeColor="text1"/>
          <w:lang w:val="en-US"/>
        </w:rPr>
        <w:t xml:space="preserve"> (interview); Public Prosecutor’s Office</w:t>
      </w:r>
      <w:r>
        <w:rPr>
          <w:rFonts w:asciiTheme="majorBidi" w:hAnsiTheme="majorBidi" w:cstheme="majorBidi"/>
          <w:color w:val="000000" w:themeColor="text1"/>
          <w:lang w:val="en-US"/>
        </w:rPr>
        <w:t xml:space="preserve"> II</w:t>
      </w:r>
      <w:r w:rsidRPr="00A87040">
        <w:rPr>
          <w:rFonts w:asciiTheme="majorBidi" w:hAnsiTheme="majorBidi" w:cstheme="majorBidi"/>
          <w:color w:val="000000" w:themeColor="text1"/>
          <w:lang w:val="en-US"/>
        </w:rPr>
        <w:t xml:space="preserve"> (interview)</w:t>
      </w:r>
      <w:r w:rsidRPr="0033147B">
        <w:rPr>
          <w:lang w:val="en-GB"/>
        </w:rPr>
        <w:t>; Defence Lawyer</w:t>
      </w:r>
      <w:r>
        <w:rPr>
          <w:lang w:val="en-GB"/>
        </w:rPr>
        <w:t xml:space="preserve"> </w:t>
      </w:r>
      <w:r w:rsidRPr="0033147B">
        <w:rPr>
          <w:lang w:val="en-GB"/>
        </w:rPr>
        <w:t>I (interview).</w:t>
      </w:r>
    </w:p>
  </w:footnote>
  <w:footnote w:id="372">
    <w:p w14:paraId="3BD2AE7C" w14:textId="41AD4CF2" w:rsidR="00D81F47" w:rsidRPr="0033147B" w:rsidRDefault="00D81F47">
      <w:pPr>
        <w:pStyle w:val="Funotentext"/>
        <w:rPr>
          <w:lang w:val="en-GB"/>
        </w:rPr>
      </w:pPr>
      <w:r>
        <w:rPr>
          <w:rStyle w:val="Funotenzeichen"/>
        </w:rPr>
        <w:footnoteRef/>
      </w:r>
      <w:r w:rsidRPr="0033147B">
        <w:rPr>
          <w:lang w:val="en-GB"/>
        </w:rPr>
        <w:t xml:space="preserve"> Federal Court of Justice, Judgment of 9 September 1997 – 1 StR 408/97, 43 official court reports (BGHSt) </w:t>
      </w:r>
      <w:r>
        <w:rPr>
          <w:lang w:val="en-US"/>
        </w:rPr>
        <w:t xml:space="preserve">, </w:t>
      </w:r>
      <w:r w:rsidRPr="0033147B">
        <w:rPr>
          <w:lang w:val="en-GB"/>
        </w:rPr>
        <w:t>233 (</w:t>
      </w:r>
      <w:r>
        <w:rPr>
          <w:lang w:val="en-US"/>
        </w:rPr>
        <w:t xml:space="preserve">at </w:t>
      </w:r>
      <w:r w:rsidRPr="0033147B">
        <w:rPr>
          <w:lang w:val="en-GB"/>
        </w:rPr>
        <w:t xml:space="preserve">234); Judgment of 23 August 2005 - 5 StR 195/05, </w:t>
      </w:r>
      <w:r>
        <w:rPr>
          <w:lang w:val="en-US"/>
        </w:rPr>
        <w:t>(</w:t>
      </w:r>
      <w:r w:rsidRPr="0033147B">
        <w:rPr>
          <w:lang w:val="en-GB"/>
        </w:rPr>
        <w:t>2006</w:t>
      </w:r>
      <w:r>
        <w:rPr>
          <w:lang w:val="en-US"/>
        </w:rPr>
        <w:t>)</w:t>
      </w:r>
      <w:r w:rsidRPr="0033147B">
        <w:rPr>
          <w:lang w:val="en-GB"/>
        </w:rPr>
        <w:t xml:space="preserve"> </w:t>
      </w:r>
      <w:r w:rsidRPr="0033147B">
        <w:rPr>
          <w:i/>
          <w:lang w:val="en-GB"/>
        </w:rPr>
        <w:t>Neue Zeitschrift für Strafrecht</w:t>
      </w:r>
      <w:r>
        <w:rPr>
          <w:i/>
          <w:lang w:val="en-US"/>
        </w:rPr>
        <w:t>,</w:t>
      </w:r>
      <w:r w:rsidRPr="0033147B">
        <w:rPr>
          <w:i/>
          <w:lang w:val="en-GB"/>
        </w:rPr>
        <w:t xml:space="preserve"> </w:t>
      </w:r>
      <w:r w:rsidRPr="0033147B">
        <w:rPr>
          <w:lang w:val="en-GB"/>
        </w:rPr>
        <w:t>35.</w:t>
      </w:r>
    </w:p>
  </w:footnote>
  <w:footnote w:id="373">
    <w:p w14:paraId="1B00453C" w14:textId="0913F8ED" w:rsidR="00D81F47" w:rsidRPr="0033147B" w:rsidRDefault="00D81F47">
      <w:pPr>
        <w:pStyle w:val="Funotentext"/>
        <w:rPr>
          <w:lang w:val="en-GB"/>
        </w:rPr>
      </w:pPr>
      <w:r>
        <w:rPr>
          <w:rStyle w:val="Funotenzeichen"/>
        </w:rPr>
        <w:footnoteRef/>
      </w:r>
      <w:r w:rsidRPr="00EE04F1">
        <w:rPr>
          <w:lang w:val="de-DE"/>
        </w:rPr>
        <w:t xml:space="preserve"> Streng</w:t>
      </w:r>
      <w:r w:rsidRPr="00CB796C">
        <w:rPr>
          <w:lang w:val="de-DE"/>
        </w:rPr>
        <w:t>,</w:t>
      </w:r>
      <w:r w:rsidRPr="00EE04F1">
        <w:rPr>
          <w:lang w:val="de-DE"/>
        </w:rPr>
        <w:t xml:space="preserve"> </w:t>
      </w:r>
      <w:r w:rsidRPr="00CB796C">
        <w:rPr>
          <w:lang w:val="de-DE"/>
        </w:rPr>
        <w:t>“§ 46” in Kindhäuser/Neumann/Paeffgen/Saliger (Eds.</w:t>
      </w:r>
      <w:r w:rsidRPr="00EE04F1">
        <w:rPr>
          <w:lang w:val="de-DE"/>
        </w:rPr>
        <w:t xml:space="preserve">), </w:t>
      </w:r>
      <w:r w:rsidRPr="00EE04F1">
        <w:rPr>
          <w:i/>
          <w:lang w:val="de-DE"/>
        </w:rPr>
        <w:t>Nomos Kommentar Strafgesetzbuch</w:t>
      </w:r>
      <w:r w:rsidRPr="00EE04F1">
        <w:rPr>
          <w:lang w:val="de-DE"/>
        </w:rPr>
        <w:t>, 6th ed</w:t>
      </w:r>
      <w:r w:rsidRPr="00CB796C">
        <w:rPr>
          <w:lang w:val="de-DE"/>
        </w:rPr>
        <w:t xml:space="preserve">. </w:t>
      </w:r>
      <w:r w:rsidRPr="00CB796C">
        <w:rPr>
          <w:lang w:val="en-US"/>
        </w:rPr>
        <w:t>(Nomos, 2023), para 147; District Court</w:t>
      </w:r>
      <w:r>
        <w:rPr>
          <w:lang w:val="en-US"/>
        </w:rPr>
        <w:t xml:space="preserve"> (interview)</w:t>
      </w:r>
      <w:r w:rsidRPr="0033147B">
        <w:rPr>
          <w:lang w:val="en-GB"/>
        </w:rPr>
        <w:t>.</w:t>
      </w:r>
    </w:p>
  </w:footnote>
  <w:footnote w:id="374">
    <w:p w14:paraId="2839DEC8" w14:textId="0CE0F1B2" w:rsidR="00D81F47" w:rsidRPr="0033147B" w:rsidRDefault="00D81F47">
      <w:pPr>
        <w:pStyle w:val="Funotentext"/>
        <w:rPr>
          <w:lang w:val="en-GB"/>
        </w:rPr>
      </w:pPr>
      <w:r>
        <w:rPr>
          <w:rStyle w:val="Funotenzeichen"/>
        </w:rPr>
        <w:footnoteRef/>
      </w:r>
      <w:r w:rsidRPr="0033147B">
        <w:rPr>
          <w:lang w:val="en-GB"/>
        </w:rPr>
        <w:t xml:space="preserve"> District Court</w:t>
      </w:r>
      <w:r>
        <w:rPr>
          <w:lang w:val="en-US"/>
        </w:rPr>
        <w:t xml:space="preserve"> (interview)</w:t>
      </w:r>
      <w:r w:rsidRPr="0033147B">
        <w:rPr>
          <w:lang w:val="en-GB"/>
        </w:rPr>
        <w:t xml:space="preserve">; </w:t>
      </w:r>
      <w:r>
        <w:rPr>
          <w:lang w:val="en-US"/>
        </w:rPr>
        <w:t>Defence Lawyer</w:t>
      </w:r>
      <w:r w:rsidRPr="00CB796C">
        <w:rPr>
          <w:lang w:val="en-US"/>
        </w:rPr>
        <w:t xml:space="preserve"> </w:t>
      </w:r>
      <w:r>
        <w:rPr>
          <w:lang w:val="en-US"/>
        </w:rPr>
        <w:t>II (interview)</w:t>
      </w:r>
      <w:r w:rsidRPr="0033147B">
        <w:rPr>
          <w:lang w:val="en-GB"/>
        </w:rPr>
        <w:t>.</w:t>
      </w:r>
    </w:p>
  </w:footnote>
  <w:footnote w:id="375">
    <w:p w14:paraId="10896FA5" w14:textId="2CA4EFFD" w:rsidR="00D81F47" w:rsidRPr="00CB796C" w:rsidRDefault="00D81F47" w:rsidP="00535C0E">
      <w:pPr>
        <w:pStyle w:val="Funotentext"/>
        <w:rPr>
          <w:lang w:val="en-US"/>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 xml:space="preserve">Public Prosecutor’s Office </w:t>
      </w:r>
      <w:r>
        <w:rPr>
          <w:rFonts w:asciiTheme="majorBidi" w:hAnsiTheme="majorBidi" w:cstheme="majorBidi"/>
          <w:color w:val="000000" w:themeColor="text1"/>
          <w:lang w:val="en-US"/>
        </w:rPr>
        <w:t>III</w:t>
      </w:r>
      <w:r w:rsidRPr="00A87040">
        <w:rPr>
          <w:rFonts w:asciiTheme="majorBidi" w:hAnsiTheme="majorBidi" w:cstheme="majorBidi"/>
          <w:color w:val="000000" w:themeColor="text1"/>
          <w:lang w:val="en-US"/>
        </w:rPr>
        <w:t xml:space="preserve"> (interview)</w:t>
      </w:r>
      <w:r>
        <w:rPr>
          <w:rFonts w:asciiTheme="majorBidi" w:hAnsiTheme="majorBidi" w:cstheme="majorBidi"/>
          <w:color w:val="000000" w:themeColor="text1"/>
          <w:lang w:val="en-US"/>
        </w:rPr>
        <w:t xml:space="preserve">. </w:t>
      </w:r>
    </w:p>
  </w:footnote>
  <w:footnote w:id="376">
    <w:p w14:paraId="038CB6FB" w14:textId="51835CEB" w:rsidR="00D81F47" w:rsidRPr="0033147B" w:rsidRDefault="00D81F47" w:rsidP="00535C0E">
      <w:pPr>
        <w:pStyle w:val="Funotentext"/>
        <w:rPr>
          <w:lang w:val="en-GB"/>
        </w:rPr>
      </w:pPr>
      <w:r>
        <w:rPr>
          <w:rStyle w:val="Funotenzeichen"/>
        </w:rPr>
        <w:footnoteRef/>
      </w:r>
      <w:r w:rsidRPr="0033147B">
        <w:rPr>
          <w:lang w:val="en-GB"/>
        </w:rPr>
        <w:t xml:space="preserve"> </w:t>
      </w:r>
      <w:r>
        <w:rPr>
          <w:lang w:val="en-US"/>
        </w:rPr>
        <w:t>A</w:t>
      </w:r>
      <w:r w:rsidRPr="00CB796C">
        <w:rPr>
          <w:lang w:val="en-US"/>
        </w:rPr>
        <w:t>cademic expert</w:t>
      </w:r>
      <w:r>
        <w:rPr>
          <w:lang w:val="en-US"/>
        </w:rPr>
        <w:t xml:space="preserve"> (interview)</w:t>
      </w:r>
      <w:r w:rsidRPr="0033147B">
        <w:rPr>
          <w:lang w:val="en-GB"/>
        </w:rPr>
        <w:t>.</w:t>
      </w:r>
    </w:p>
  </w:footnote>
  <w:footnote w:id="377">
    <w:p w14:paraId="45DFDAE4" w14:textId="37907591" w:rsidR="00D81F47" w:rsidRPr="00CB796C" w:rsidRDefault="00D81F47">
      <w:pPr>
        <w:pStyle w:val="Funotentext"/>
        <w:rPr>
          <w:lang w:val="en-US"/>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Federal Ministry of Justice (interview).</w:t>
      </w:r>
    </w:p>
  </w:footnote>
  <w:footnote w:id="378">
    <w:p w14:paraId="2A423C88" w14:textId="26B609FD" w:rsidR="00D81F47" w:rsidRPr="00CB796C" w:rsidRDefault="00D81F47">
      <w:pPr>
        <w:pStyle w:val="Funotentext"/>
        <w:rPr>
          <w:lang w:val="en-US"/>
        </w:rPr>
      </w:pPr>
      <w:r>
        <w:rPr>
          <w:rStyle w:val="Funotenzeichen"/>
        </w:rPr>
        <w:footnoteRef/>
      </w:r>
      <w:r w:rsidRPr="0033147B">
        <w:rPr>
          <w:lang w:val="en-GB"/>
        </w:rPr>
        <w:t xml:space="preserve"> </w:t>
      </w:r>
      <w:r>
        <w:rPr>
          <w:lang w:val="en-GB"/>
        </w:rPr>
        <w:t>State’s</w:t>
      </w:r>
      <w:r w:rsidDel="00590928">
        <w:rPr>
          <w:lang w:val="en-GB"/>
        </w:rPr>
        <w:t xml:space="preserve"> </w:t>
      </w:r>
      <w:r w:rsidRPr="00A87040">
        <w:rPr>
          <w:rFonts w:asciiTheme="majorBidi" w:hAnsiTheme="majorBidi" w:cstheme="majorBidi"/>
          <w:color w:val="000000" w:themeColor="text1"/>
          <w:lang w:val="en-US"/>
        </w:rPr>
        <w:t>Ministry of Justice (interview).</w:t>
      </w:r>
    </w:p>
  </w:footnote>
  <w:footnote w:id="379">
    <w:p w14:paraId="34DDB67D" w14:textId="30A9E502" w:rsidR="00D81F47" w:rsidRPr="00CB796C" w:rsidRDefault="00D81F47">
      <w:pPr>
        <w:pStyle w:val="Funotentext"/>
        <w:rPr>
          <w:lang w:val="en-US"/>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 xml:space="preserve">Public Prosecutor’s Office </w:t>
      </w:r>
      <w:r>
        <w:rPr>
          <w:rFonts w:asciiTheme="majorBidi" w:hAnsiTheme="majorBidi" w:cstheme="majorBidi"/>
          <w:color w:val="000000" w:themeColor="text1"/>
          <w:lang w:val="en-US"/>
        </w:rPr>
        <w:t>III</w:t>
      </w:r>
      <w:r w:rsidRPr="00A87040">
        <w:rPr>
          <w:rFonts w:asciiTheme="majorBidi" w:hAnsiTheme="majorBidi" w:cstheme="majorBidi"/>
          <w:color w:val="000000" w:themeColor="text1"/>
          <w:lang w:val="en-US"/>
        </w:rPr>
        <w:t xml:space="preserve"> (interview)</w:t>
      </w:r>
      <w:r>
        <w:rPr>
          <w:rFonts w:asciiTheme="majorBidi" w:hAnsiTheme="majorBidi" w:cstheme="majorBidi"/>
          <w:color w:val="000000" w:themeColor="text1"/>
          <w:lang w:val="en-US"/>
        </w:rPr>
        <w:t xml:space="preserve">. </w:t>
      </w:r>
    </w:p>
  </w:footnote>
  <w:footnote w:id="380">
    <w:p w14:paraId="6BC60A85" w14:textId="00C35D1D" w:rsidR="00D81F47" w:rsidRPr="0033147B" w:rsidRDefault="00D81F47">
      <w:pPr>
        <w:pStyle w:val="Funotentext"/>
        <w:rPr>
          <w:lang w:val="en-GB"/>
        </w:rPr>
      </w:pPr>
      <w:r>
        <w:rPr>
          <w:rStyle w:val="Funotenzeichen"/>
        </w:rPr>
        <w:footnoteRef/>
      </w:r>
      <w:r w:rsidRPr="0033147B">
        <w:rPr>
          <w:lang w:val="en-GB"/>
        </w:rPr>
        <w:t xml:space="preserve"> Defence Lawyer I (interview).</w:t>
      </w:r>
    </w:p>
  </w:footnote>
  <w:footnote w:id="381">
    <w:p w14:paraId="37379459" w14:textId="61D7DDC7" w:rsidR="00D81F47" w:rsidRPr="0033147B" w:rsidRDefault="00D81F47">
      <w:pPr>
        <w:pStyle w:val="Funotentext"/>
        <w:rPr>
          <w:lang w:val="en-GB"/>
        </w:rPr>
      </w:pPr>
      <w:r>
        <w:rPr>
          <w:rStyle w:val="Funotenzeichen"/>
        </w:rPr>
        <w:footnoteRef/>
      </w:r>
      <w:r w:rsidRPr="0033147B">
        <w:rPr>
          <w:lang w:val="en-GB"/>
        </w:rPr>
        <w:t xml:space="preserve"> </w:t>
      </w:r>
      <w:r>
        <w:rPr>
          <w:lang w:val="en-US"/>
        </w:rPr>
        <w:t>Defence Lawyer I</w:t>
      </w:r>
      <w:r w:rsidRPr="00CB796C">
        <w:rPr>
          <w:lang w:val="en-US"/>
        </w:rPr>
        <w:t>II</w:t>
      </w:r>
      <w:r>
        <w:rPr>
          <w:lang w:val="en-US"/>
        </w:rPr>
        <w:t xml:space="preserve"> (interview)</w:t>
      </w:r>
      <w:r w:rsidRPr="0033147B">
        <w:rPr>
          <w:lang w:val="en-GB"/>
        </w:rPr>
        <w:t>.</w:t>
      </w:r>
    </w:p>
  </w:footnote>
  <w:footnote w:id="382">
    <w:p w14:paraId="5F9A7CE9" w14:textId="6208DF8A" w:rsidR="00D81F47" w:rsidRPr="00CB796C" w:rsidRDefault="00D81F47" w:rsidP="00783E2B">
      <w:pPr>
        <w:pStyle w:val="Funotentext"/>
        <w:rPr>
          <w:rFonts w:asciiTheme="majorBidi" w:hAnsiTheme="majorBidi" w:cstheme="majorBidi"/>
          <w:color w:val="000000" w:themeColor="text1"/>
          <w:lang w:val="en-US"/>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Federal Ministry of Justice (interview).</w:t>
      </w:r>
      <w:r>
        <w:rPr>
          <w:rFonts w:asciiTheme="majorBidi" w:hAnsiTheme="majorBidi" w:cstheme="majorBidi"/>
          <w:color w:val="000000" w:themeColor="text1"/>
          <w:lang w:val="en-US"/>
        </w:rPr>
        <w:t xml:space="preserve"> </w:t>
      </w:r>
    </w:p>
  </w:footnote>
  <w:footnote w:id="383">
    <w:p w14:paraId="58DCDEA1" w14:textId="77777777" w:rsidR="00D81F47" w:rsidRPr="00353C2A" w:rsidRDefault="00D81F47" w:rsidP="005F5AF1">
      <w:pPr>
        <w:pStyle w:val="Funotentext"/>
        <w:jc w:val="both"/>
        <w:rPr>
          <w:lang w:val="en-GB"/>
        </w:rPr>
      </w:pPr>
      <w:r w:rsidRPr="00353C2A">
        <w:rPr>
          <w:rStyle w:val="Funotenzeichen"/>
          <w:rFonts w:eastAsiaTheme="majorEastAsia"/>
        </w:rPr>
        <w:footnoteRef/>
      </w:r>
      <w:r w:rsidRPr="00353C2A">
        <w:rPr>
          <w:lang w:val="en-GB"/>
        </w:rPr>
        <w:t xml:space="preserve"> We invite the NARs to identify and include other issues. </w:t>
      </w:r>
    </w:p>
  </w:footnote>
  <w:footnote w:id="384">
    <w:p w14:paraId="15EBA7BB" w14:textId="16E03099" w:rsidR="00D81F47" w:rsidRPr="00CB796C" w:rsidRDefault="00D81F47">
      <w:pPr>
        <w:pStyle w:val="Funotentext"/>
        <w:rPr>
          <w:lang w:val="en-US"/>
        </w:rPr>
      </w:pPr>
      <w:r>
        <w:rPr>
          <w:rStyle w:val="Funotenzeichen"/>
        </w:rPr>
        <w:footnoteRef/>
      </w:r>
      <w:r w:rsidRPr="0033147B">
        <w:rPr>
          <w:lang w:val="en-GB"/>
        </w:rPr>
        <w:t xml:space="preserve"> </w:t>
      </w:r>
      <w:r w:rsidRPr="00CB796C">
        <w:rPr>
          <w:lang w:val="en-US"/>
        </w:rPr>
        <w:t>District Court (interview).</w:t>
      </w:r>
    </w:p>
  </w:footnote>
  <w:footnote w:id="385">
    <w:p w14:paraId="4DEB5087" w14:textId="31B52298" w:rsidR="00D81F47" w:rsidRPr="00CB796C" w:rsidRDefault="00D81F47">
      <w:pPr>
        <w:pStyle w:val="Funotentext"/>
        <w:rPr>
          <w:lang w:val="en-US"/>
        </w:rPr>
      </w:pPr>
      <w:r>
        <w:rPr>
          <w:rStyle w:val="Funotenzeichen"/>
        </w:rPr>
        <w:footnoteRef/>
      </w:r>
      <w:r w:rsidRPr="0033147B">
        <w:rPr>
          <w:lang w:val="en-GB"/>
        </w:rPr>
        <w:t xml:space="preserve"> </w:t>
      </w:r>
      <w:r w:rsidRPr="00CB796C">
        <w:rPr>
          <w:lang w:val="en-US"/>
        </w:rPr>
        <w:t xml:space="preserve">Defence Lawyer </w:t>
      </w:r>
      <w:r>
        <w:rPr>
          <w:lang w:val="en-US"/>
        </w:rPr>
        <w:t>II</w:t>
      </w:r>
      <w:r w:rsidRPr="00CB796C">
        <w:rPr>
          <w:lang w:val="en-US"/>
        </w:rPr>
        <w:t xml:space="preserve"> (interview).</w:t>
      </w:r>
    </w:p>
  </w:footnote>
  <w:footnote w:id="386">
    <w:p w14:paraId="7609FD21" w14:textId="582F36AE" w:rsidR="00D81F47" w:rsidRPr="00CB796C" w:rsidRDefault="00D81F47" w:rsidP="009E74DE">
      <w:pPr>
        <w:pStyle w:val="Funotentext"/>
        <w:rPr>
          <w:rFonts w:asciiTheme="majorBidi" w:hAnsiTheme="majorBidi" w:cstheme="majorBidi"/>
          <w:color w:val="000000" w:themeColor="text1"/>
          <w:lang w:val="en-US"/>
        </w:rPr>
      </w:pPr>
      <w:r>
        <w:rPr>
          <w:rStyle w:val="Funotenzeichen"/>
        </w:rPr>
        <w:footnoteRef/>
      </w:r>
      <w:r w:rsidRPr="0033147B">
        <w:rPr>
          <w:lang w:val="en-GB"/>
        </w:rPr>
        <w:t xml:space="preserve"> </w:t>
      </w:r>
      <w:r w:rsidRPr="00A87040">
        <w:rPr>
          <w:rFonts w:asciiTheme="majorBidi" w:hAnsiTheme="majorBidi" w:cstheme="majorBidi"/>
          <w:color w:val="000000" w:themeColor="text1"/>
          <w:lang w:val="en-US"/>
        </w:rPr>
        <w:t>Federal Ministry of Justice (interview).</w:t>
      </w:r>
    </w:p>
  </w:footnote>
  <w:footnote w:id="387">
    <w:p w14:paraId="3129D8CD" w14:textId="6CC614F4" w:rsidR="00D81F47" w:rsidRPr="00036FE3" w:rsidRDefault="00D81F47" w:rsidP="00791186">
      <w:pPr>
        <w:pStyle w:val="Funotentext"/>
      </w:pPr>
      <w:r>
        <w:rPr>
          <w:rStyle w:val="Funotenzeichen"/>
        </w:rPr>
        <w:footnoteRef/>
      </w:r>
      <w:r>
        <w:t xml:space="preserve"> Roth, “Die grenzüberschreitende Videovernehmung von Zeugen und Beschuldigten”, (2024) </w:t>
      </w:r>
      <w:r w:rsidRPr="00230443">
        <w:rPr>
          <w:i/>
        </w:rPr>
        <w:t>Neue Zeitschrift für Strafrecht</w:t>
      </w:r>
      <w:r>
        <w:t xml:space="preserve">, 329 (at 330); </w:t>
      </w:r>
      <w:r w:rsidRPr="007D13FC">
        <w:rPr>
          <w:lang w:val="de-DE"/>
        </w:rPr>
        <w:t>Rinio</w:t>
      </w:r>
      <w:r>
        <w:rPr>
          <w:lang w:val="de-DE"/>
        </w:rPr>
        <w:t>,</w:t>
      </w:r>
      <w:r w:rsidRPr="007D13FC">
        <w:rPr>
          <w:lang w:val="de-DE"/>
        </w:rPr>
        <w:t xml:space="preserve"> </w:t>
      </w:r>
      <w:r w:rsidRPr="00EE04F1">
        <w:rPr>
          <w:lang w:val="de-DE"/>
        </w:rPr>
        <w:t>“</w:t>
      </w:r>
      <w:r w:rsidRPr="007D13FC">
        <w:rPr>
          <w:lang w:val="de-DE"/>
        </w:rPr>
        <w:t>Hauptverhandlung per Videokonferenz im Wege der internationalen Rechtshilfe in Strafsachen</w:t>
      </w:r>
      <w:r>
        <w:rPr>
          <w:lang w:val="de-DE"/>
        </w:rPr>
        <w:t>“,</w:t>
      </w:r>
      <w:r w:rsidRPr="007D13FC">
        <w:rPr>
          <w:lang w:val="de-DE"/>
        </w:rPr>
        <w:t xml:space="preserve"> </w:t>
      </w:r>
      <w:r>
        <w:rPr>
          <w:lang w:val="de-DE"/>
        </w:rPr>
        <w:t>(</w:t>
      </w:r>
      <w:r w:rsidRPr="007D13FC">
        <w:rPr>
          <w:lang w:val="de-DE"/>
        </w:rPr>
        <w:t>2004</w:t>
      </w:r>
      <w:r>
        <w:rPr>
          <w:lang w:val="de-DE"/>
        </w:rPr>
        <w:t>)</w:t>
      </w:r>
      <w:r w:rsidRPr="007D13FC">
        <w:rPr>
          <w:lang w:val="de-DE"/>
        </w:rPr>
        <w:t xml:space="preserve"> </w:t>
      </w:r>
      <w:r w:rsidRPr="007D13FC">
        <w:rPr>
          <w:i/>
          <w:lang w:val="de-DE"/>
        </w:rPr>
        <w:t>Neue Zeitschrift für Strafrecht</w:t>
      </w:r>
      <w:r>
        <w:rPr>
          <w:i/>
          <w:lang w:val="de-DE"/>
        </w:rPr>
        <w:t>,</w:t>
      </w:r>
      <w:r w:rsidRPr="007D13FC">
        <w:rPr>
          <w:i/>
          <w:lang w:val="de-DE"/>
        </w:rPr>
        <w:t xml:space="preserve"> </w:t>
      </w:r>
      <w:r w:rsidRPr="007D13FC">
        <w:rPr>
          <w:lang w:val="de-DE"/>
        </w:rPr>
        <w:t>188</w:t>
      </w:r>
      <w:r>
        <w:rPr>
          <w:lang w:val="de-DE"/>
        </w:rPr>
        <w:t xml:space="preserve">; </w:t>
      </w:r>
      <w:r w:rsidRPr="001570E3">
        <w:rPr>
          <w:lang w:val="de-DE"/>
        </w:rPr>
        <w:t xml:space="preserve"> </w:t>
      </w:r>
      <w:r>
        <w:rPr>
          <w:lang w:val="de-DE"/>
        </w:rPr>
        <w:t xml:space="preserve">Beukelmann, “Das (virtuelle) Anwesenheitsrecht des Angeklagten“, (2024) </w:t>
      </w:r>
      <w:r w:rsidRPr="002C182E">
        <w:rPr>
          <w:i/>
          <w:lang w:val="de-DE"/>
        </w:rPr>
        <w:t>Neue Juristische Wochenschrift-Spezial</w:t>
      </w:r>
      <w:r>
        <w:rPr>
          <w:lang w:val="de-DE"/>
        </w:rPr>
        <w:t>, 504.</w:t>
      </w:r>
    </w:p>
    <w:p w14:paraId="1E0CDFF3" w14:textId="4171CDC0" w:rsidR="00D81F47" w:rsidRPr="00791186" w:rsidRDefault="00D81F47">
      <w:pPr>
        <w:pStyle w:val="Funoten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5AB7"/>
    <w:multiLevelType w:val="hybridMultilevel"/>
    <w:tmpl w:val="4E44E87E"/>
    <w:lvl w:ilvl="0" w:tplc="00AC0F7A">
      <w:start w:val="27"/>
      <w:numFmt w:val="bullet"/>
      <w:lvlText w:val="-"/>
      <w:lvlJc w:val="left"/>
      <w:pPr>
        <w:ind w:left="2629" w:hanging="360"/>
      </w:pPr>
      <w:rPr>
        <w:rFonts w:ascii="Times New Roman" w:eastAsia="Times New Roman" w:hAnsi="Times New Roman" w:cs="Times New Roman" w:hint="default"/>
      </w:rPr>
    </w:lvl>
    <w:lvl w:ilvl="1" w:tplc="04130003">
      <w:start w:val="1"/>
      <w:numFmt w:val="bullet"/>
      <w:lvlText w:val="o"/>
      <w:lvlJc w:val="left"/>
      <w:pPr>
        <w:ind w:left="3349" w:hanging="360"/>
      </w:pPr>
      <w:rPr>
        <w:rFonts w:ascii="Courier New" w:hAnsi="Courier New" w:cs="Courier New" w:hint="default"/>
      </w:rPr>
    </w:lvl>
    <w:lvl w:ilvl="2" w:tplc="04130005">
      <w:start w:val="1"/>
      <w:numFmt w:val="bullet"/>
      <w:lvlText w:val=""/>
      <w:lvlJc w:val="left"/>
      <w:pPr>
        <w:ind w:left="4069" w:hanging="360"/>
      </w:pPr>
      <w:rPr>
        <w:rFonts w:ascii="Wingdings" w:hAnsi="Wingdings" w:hint="default"/>
      </w:rPr>
    </w:lvl>
    <w:lvl w:ilvl="3" w:tplc="04130001" w:tentative="1">
      <w:start w:val="1"/>
      <w:numFmt w:val="bullet"/>
      <w:lvlText w:val=""/>
      <w:lvlJc w:val="left"/>
      <w:pPr>
        <w:ind w:left="4789" w:hanging="360"/>
      </w:pPr>
      <w:rPr>
        <w:rFonts w:ascii="Symbol" w:hAnsi="Symbol" w:hint="default"/>
      </w:rPr>
    </w:lvl>
    <w:lvl w:ilvl="4" w:tplc="04130003" w:tentative="1">
      <w:start w:val="1"/>
      <w:numFmt w:val="bullet"/>
      <w:lvlText w:val="o"/>
      <w:lvlJc w:val="left"/>
      <w:pPr>
        <w:ind w:left="5509" w:hanging="360"/>
      </w:pPr>
      <w:rPr>
        <w:rFonts w:ascii="Courier New" w:hAnsi="Courier New" w:cs="Courier New" w:hint="default"/>
      </w:rPr>
    </w:lvl>
    <w:lvl w:ilvl="5" w:tplc="04130005" w:tentative="1">
      <w:start w:val="1"/>
      <w:numFmt w:val="bullet"/>
      <w:lvlText w:val=""/>
      <w:lvlJc w:val="left"/>
      <w:pPr>
        <w:ind w:left="6229" w:hanging="360"/>
      </w:pPr>
      <w:rPr>
        <w:rFonts w:ascii="Wingdings" w:hAnsi="Wingdings" w:hint="default"/>
      </w:rPr>
    </w:lvl>
    <w:lvl w:ilvl="6" w:tplc="04130001" w:tentative="1">
      <w:start w:val="1"/>
      <w:numFmt w:val="bullet"/>
      <w:lvlText w:val=""/>
      <w:lvlJc w:val="left"/>
      <w:pPr>
        <w:ind w:left="6949" w:hanging="360"/>
      </w:pPr>
      <w:rPr>
        <w:rFonts w:ascii="Symbol" w:hAnsi="Symbol" w:hint="default"/>
      </w:rPr>
    </w:lvl>
    <w:lvl w:ilvl="7" w:tplc="04130003" w:tentative="1">
      <w:start w:val="1"/>
      <w:numFmt w:val="bullet"/>
      <w:lvlText w:val="o"/>
      <w:lvlJc w:val="left"/>
      <w:pPr>
        <w:ind w:left="7669" w:hanging="360"/>
      </w:pPr>
      <w:rPr>
        <w:rFonts w:ascii="Courier New" w:hAnsi="Courier New" w:cs="Courier New" w:hint="default"/>
      </w:rPr>
    </w:lvl>
    <w:lvl w:ilvl="8" w:tplc="04130005" w:tentative="1">
      <w:start w:val="1"/>
      <w:numFmt w:val="bullet"/>
      <w:lvlText w:val=""/>
      <w:lvlJc w:val="left"/>
      <w:pPr>
        <w:ind w:left="8389" w:hanging="360"/>
      </w:pPr>
      <w:rPr>
        <w:rFonts w:ascii="Wingdings" w:hAnsi="Wingdings" w:hint="default"/>
      </w:rPr>
    </w:lvl>
  </w:abstractNum>
  <w:abstractNum w:abstractNumId="1" w15:restartNumberingAfterBreak="0">
    <w:nsid w:val="079D526C"/>
    <w:multiLevelType w:val="hybridMultilevel"/>
    <w:tmpl w:val="61E88E70"/>
    <w:lvl w:ilvl="0" w:tplc="C0E245C0">
      <w:start w:val="1"/>
      <w:numFmt w:val="bullet"/>
      <w:lvlText w:val=""/>
      <w:lvlJc w:val="left"/>
      <w:pPr>
        <w:ind w:left="1440" w:hanging="360"/>
      </w:pPr>
      <w:rPr>
        <w:rFonts w:ascii="Symbol" w:hAnsi="Symbol"/>
      </w:rPr>
    </w:lvl>
    <w:lvl w:ilvl="1" w:tplc="232CC7CE">
      <w:start w:val="1"/>
      <w:numFmt w:val="bullet"/>
      <w:lvlText w:val=""/>
      <w:lvlJc w:val="left"/>
      <w:pPr>
        <w:ind w:left="1440" w:hanging="360"/>
      </w:pPr>
      <w:rPr>
        <w:rFonts w:ascii="Symbol" w:hAnsi="Symbol"/>
      </w:rPr>
    </w:lvl>
    <w:lvl w:ilvl="2" w:tplc="CEA898CE">
      <w:start w:val="1"/>
      <w:numFmt w:val="bullet"/>
      <w:lvlText w:val=""/>
      <w:lvlJc w:val="left"/>
      <w:pPr>
        <w:ind w:left="1440" w:hanging="360"/>
      </w:pPr>
      <w:rPr>
        <w:rFonts w:ascii="Symbol" w:hAnsi="Symbol"/>
      </w:rPr>
    </w:lvl>
    <w:lvl w:ilvl="3" w:tplc="925C73F6">
      <w:start w:val="1"/>
      <w:numFmt w:val="bullet"/>
      <w:lvlText w:val=""/>
      <w:lvlJc w:val="left"/>
      <w:pPr>
        <w:ind w:left="1440" w:hanging="360"/>
      </w:pPr>
      <w:rPr>
        <w:rFonts w:ascii="Symbol" w:hAnsi="Symbol"/>
      </w:rPr>
    </w:lvl>
    <w:lvl w:ilvl="4" w:tplc="29087528">
      <w:start w:val="1"/>
      <w:numFmt w:val="bullet"/>
      <w:lvlText w:val=""/>
      <w:lvlJc w:val="left"/>
      <w:pPr>
        <w:ind w:left="1440" w:hanging="360"/>
      </w:pPr>
      <w:rPr>
        <w:rFonts w:ascii="Symbol" w:hAnsi="Symbol"/>
      </w:rPr>
    </w:lvl>
    <w:lvl w:ilvl="5" w:tplc="F89E6FFC">
      <w:start w:val="1"/>
      <w:numFmt w:val="bullet"/>
      <w:lvlText w:val=""/>
      <w:lvlJc w:val="left"/>
      <w:pPr>
        <w:ind w:left="1440" w:hanging="360"/>
      </w:pPr>
      <w:rPr>
        <w:rFonts w:ascii="Symbol" w:hAnsi="Symbol"/>
      </w:rPr>
    </w:lvl>
    <w:lvl w:ilvl="6" w:tplc="8AAEA510">
      <w:start w:val="1"/>
      <w:numFmt w:val="bullet"/>
      <w:lvlText w:val=""/>
      <w:lvlJc w:val="left"/>
      <w:pPr>
        <w:ind w:left="1440" w:hanging="360"/>
      </w:pPr>
      <w:rPr>
        <w:rFonts w:ascii="Symbol" w:hAnsi="Symbol"/>
      </w:rPr>
    </w:lvl>
    <w:lvl w:ilvl="7" w:tplc="D2CA1A88">
      <w:start w:val="1"/>
      <w:numFmt w:val="bullet"/>
      <w:lvlText w:val=""/>
      <w:lvlJc w:val="left"/>
      <w:pPr>
        <w:ind w:left="1440" w:hanging="360"/>
      </w:pPr>
      <w:rPr>
        <w:rFonts w:ascii="Symbol" w:hAnsi="Symbol"/>
      </w:rPr>
    </w:lvl>
    <w:lvl w:ilvl="8" w:tplc="14D4692A">
      <w:start w:val="1"/>
      <w:numFmt w:val="bullet"/>
      <w:lvlText w:val=""/>
      <w:lvlJc w:val="left"/>
      <w:pPr>
        <w:ind w:left="1440" w:hanging="360"/>
      </w:pPr>
      <w:rPr>
        <w:rFonts w:ascii="Symbol" w:hAnsi="Symbol"/>
      </w:rPr>
    </w:lvl>
  </w:abstractNum>
  <w:abstractNum w:abstractNumId="2" w15:restartNumberingAfterBreak="0">
    <w:nsid w:val="095C3086"/>
    <w:multiLevelType w:val="hybridMultilevel"/>
    <w:tmpl w:val="23748A22"/>
    <w:lvl w:ilvl="0" w:tplc="DA186174">
      <w:start w:val="19"/>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451E83"/>
    <w:multiLevelType w:val="hybridMultilevel"/>
    <w:tmpl w:val="579ED084"/>
    <w:lvl w:ilvl="0" w:tplc="FFBA1CEE">
      <w:start w:val="1"/>
      <w:numFmt w:val="decimal"/>
      <w:lvlText w:val="%1)"/>
      <w:lvlJc w:val="left"/>
      <w:pPr>
        <w:ind w:left="1080" w:hanging="360"/>
      </w:pPr>
    </w:lvl>
    <w:lvl w:ilvl="1" w:tplc="32F8B47A">
      <w:start w:val="1"/>
      <w:numFmt w:val="decimal"/>
      <w:lvlText w:val="%2)"/>
      <w:lvlJc w:val="left"/>
      <w:pPr>
        <w:ind w:left="1080" w:hanging="360"/>
      </w:pPr>
    </w:lvl>
    <w:lvl w:ilvl="2" w:tplc="626EAD9C">
      <w:start w:val="1"/>
      <w:numFmt w:val="decimal"/>
      <w:lvlText w:val="%3)"/>
      <w:lvlJc w:val="left"/>
      <w:pPr>
        <w:ind w:left="1080" w:hanging="360"/>
      </w:pPr>
    </w:lvl>
    <w:lvl w:ilvl="3" w:tplc="A82C1E52">
      <w:start w:val="1"/>
      <w:numFmt w:val="decimal"/>
      <w:lvlText w:val="%4)"/>
      <w:lvlJc w:val="left"/>
      <w:pPr>
        <w:ind w:left="1080" w:hanging="360"/>
      </w:pPr>
    </w:lvl>
    <w:lvl w:ilvl="4" w:tplc="8E5E4408">
      <w:start w:val="1"/>
      <w:numFmt w:val="decimal"/>
      <w:lvlText w:val="%5)"/>
      <w:lvlJc w:val="left"/>
      <w:pPr>
        <w:ind w:left="1080" w:hanging="360"/>
      </w:pPr>
    </w:lvl>
    <w:lvl w:ilvl="5" w:tplc="329A9628">
      <w:start w:val="1"/>
      <w:numFmt w:val="decimal"/>
      <w:lvlText w:val="%6)"/>
      <w:lvlJc w:val="left"/>
      <w:pPr>
        <w:ind w:left="1080" w:hanging="360"/>
      </w:pPr>
    </w:lvl>
    <w:lvl w:ilvl="6" w:tplc="0E44A1B2">
      <w:start w:val="1"/>
      <w:numFmt w:val="decimal"/>
      <w:lvlText w:val="%7)"/>
      <w:lvlJc w:val="left"/>
      <w:pPr>
        <w:ind w:left="1080" w:hanging="360"/>
      </w:pPr>
    </w:lvl>
    <w:lvl w:ilvl="7" w:tplc="C616E5F0">
      <w:start w:val="1"/>
      <w:numFmt w:val="decimal"/>
      <w:lvlText w:val="%8)"/>
      <w:lvlJc w:val="left"/>
      <w:pPr>
        <w:ind w:left="1080" w:hanging="360"/>
      </w:pPr>
    </w:lvl>
    <w:lvl w:ilvl="8" w:tplc="B2C48632">
      <w:start w:val="1"/>
      <w:numFmt w:val="decimal"/>
      <w:lvlText w:val="%9)"/>
      <w:lvlJc w:val="left"/>
      <w:pPr>
        <w:ind w:left="1080" w:hanging="360"/>
      </w:pPr>
    </w:lvl>
  </w:abstractNum>
  <w:abstractNum w:abstractNumId="4" w15:restartNumberingAfterBreak="0">
    <w:nsid w:val="123823E7"/>
    <w:multiLevelType w:val="hybridMultilevel"/>
    <w:tmpl w:val="7A765E5A"/>
    <w:lvl w:ilvl="0" w:tplc="4014A8EC">
      <w:start w:val="28"/>
      <w:numFmt w:val="bullet"/>
      <w:lvlText w:val="-"/>
      <w:lvlJc w:val="left"/>
      <w:pPr>
        <w:ind w:left="4611" w:hanging="360"/>
      </w:pPr>
      <w:rPr>
        <w:rFonts w:ascii="Times New Roman" w:eastAsia="Times New Roman" w:hAnsi="Times New Roman" w:cs="Times New Roman" w:hint="default"/>
        <w:color w:val="000000" w:themeColor="text1"/>
      </w:rPr>
    </w:lvl>
    <w:lvl w:ilvl="1" w:tplc="04130003">
      <w:start w:val="1"/>
      <w:numFmt w:val="bullet"/>
      <w:lvlText w:val="o"/>
      <w:lvlJc w:val="left"/>
      <w:pPr>
        <w:ind w:left="5331" w:hanging="360"/>
      </w:pPr>
      <w:rPr>
        <w:rFonts w:ascii="Courier New" w:hAnsi="Courier New" w:cs="Courier New" w:hint="default"/>
      </w:rPr>
    </w:lvl>
    <w:lvl w:ilvl="2" w:tplc="04130005" w:tentative="1">
      <w:start w:val="1"/>
      <w:numFmt w:val="bullet"/>
      <w:lvlText w:val=""/>
      <w:lvlJc w:val="left"/>
      <w:pPr>
        <w:ind w:left="6051" w:hanging="360"/>
      </w:pPr>
      <w:rPr>
        <w:rFonts w:ascii="Wingdings" w:hAnsi="Wingdings" w:hint="default"/>
      </w:rPr>
    </w:lvl>
    <w:lvl w:ilvl="3" w:tplc="04130001" w:tentative="1">
      <w:start w:val="1"/>
      <w:numFmt w:val="bullet"/>
      <w:lvlText w:val=""/>
      <w:lvlJc w:val="left"/>
      <w:pPr>
        <w:ind w:left="6771" w:hanging="360"/>
      </w:pPr>
      <w:rPr>
        <w:rFonts w:ascii="Symbol" w:hAnsi="Symbol" w:hint="default"/>
      </w:rPr>
    </w:lvl>
    <w:lvl w:ilvl="4" w:tplc="04130003" w:tentative="1">
      <w:start w:val="1"/>
      <w:numFmt w:val="bullet"/>
      <w:lvlText w:val="o"/>
      <w:lvlJc w:val="left"/>
      <w:pPr>
        <w:ind w:left="7491" w:hanging="360"/>
      </w:pPr>
      <w:rPr>
        <w:rFonts w:ascii="Courier New" w:hAnsi="Courier New" w:cs="Courier New" w:hint="default"/>
      </w:rPr>
    </w:lvl>
    <w:lvl w:ilvl="5" w:tplc="04130005" w:tentative="1">
      <w:start w:val="1"/>
      <w:numFmt w:val="bullet"/>
      <w:lvlText w:val=""/>
      <w:lvlJc w:val="left"/>
      <w:pPr>
        <w:ind w:left="8211" w:hanging="360"/>
      </w:pPr>
      <w:rPr>
        <w:rFonts w:ascii="Wingdings" w:hAnsi="Wingdings" w:hint="default"/>
      </w:rPr>
    </w:lvl>
    <w:lvl w:ilvl="6" w:tplc="04130001" w:tentative="1">
      <w:start w:val="1"/>
      <w:numFmt w:val="bullet"/>
      <w:lvlText w:val=""/>
      <w:lvlJc w:val="left"/>
      <w:pPr>
        <w:ind w:left="8931" w:hanging="360"/>
      </w:pPr>
      <w:rPr>
        <w:rFonts w:ascii="Symbol" w:hAnsi="Symbol" w:hint="default"/>
      </w:rPr>
    </w:lvl>
    <w:lvl w:ilvl="7" w:tplc="04130003" w:tentative="1">
      <w:start w:val="1"/>
      <w:numFmt w:val="bullet"/>
      <w:lvlText w:val="o"/>
      <w:lvlJc w:val="left"/>
      <w:pPr>
        <w:ind w:left="9651" w:hanging="360"/>
      </w:pPr>
      <w:rPr>
        <w:rFonts w:ascii="Courier New" w:hAnsi="Courier New" w:cs="Courier New" w:hint="default"/>
      </w:rPr>
    </w:lvl>
    <w:lvl w:ilvl="8" w:tplc="04130005" w:tentative="1">
      <w:start w:val="1"/>
      <w:numFmt w:val="bullet"/>
      <w:lvlText w:val=""/>
      <w:lvlJc w:val="left"/>
      <w:pPr>
        <w:ind w:left="10371" w:hanging="360"/>
      </w:pPr>
      <w:rPr>
        <w:rFonts w:ascii="Wingdings" w:hAnsi="Wingdings" w:hint="default"/>
      </w:rPr>
    </w:lvl>
  </w:abstractNum>
  <w:abstractNum w:abstractNumId="5" w15:restartNumberingAfterBreak="0">
    <w:nsid w:val="14437EDC"/>
    <w:multiLevelType w:val="hybridMultilevel"/>
    <w:tmpl w:val="40742206"/>
    <w:lvl w:ilvl="0" w:tplc="9F806D72">
      <w:start w:val="1"/>
      <w:numFmt w:val="decimal"/>
      <w:pStyle w:val="berschrift3"/>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45D70A5"/>
    <w:multiLevelType w:val="hybridMultilevel"/>
    <w:tmpl w:val="95902D46"/>
    <w:lvl w:ilvl="0" w:tplc="FCDC244E">
      <w:start w:val="1"/>
      <w:numFmt w:val="decimal"/>
      <w:pStyle w:val="berschrift2"/>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DA074C"/>
    <w:multiLevelType w:val="hybridMultilevel"/>
    <w:tmpl w:val="0E9CC62C"/>
    <w:lvl w:ilvl="0" w:tplc="00AC0F7A">
      <w:start w:val="27"/>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E14273"/>
    <w:multiLevelType w:val="multilevel"/>
    <w:tmpl w:val="E3142EBE"/>
    <w:lvl w:ilvl="0">
      <w:start w:val="1"/>
      <w:numFmt w:val="decimal"/>
      <w:pStyle w:val="berschrift1"/>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F122D30"/>
    <w:multiLevelType w:val="multilevel"/>
    <w:tmpl w:val="599C25F6"/>
    <w:lvl w:ilvl="0">
      <w:start w:val="1"/>
      <w:numFmt w:val="upperRoman"/>
      <w:lvlText w:val="%1."/>
      <w:lvlJc w:val="left"/>
      <w:pPr>
        <w:ind w:left="144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22932780"/>
    <w:multiLevelType w:val="hybridMultilevel"/>
    <w:tmpl w:val="D49E277C"/>
    <w:lvl w:ilvl="0" w:tplc="00AC0F7A">
      <w:start w:val="27"/>
      <w:numFmt w:val="bullet"/>
      <w:lvlText w:val="-"/>
      <w:lvlJc w:val="left"/>
      <w:pPr>
        <w:ind w:left="3550" w:hanging="360"/>
      </w:pPr>
      <w:rPr>
        <w:rFonts w:ascii="Times New Roman" w:eastAsia="Times New Roman" w:hAnsi="Times New Roman" w:cs="Times New Roman" w:hint="default"/>
      </w:rPr>
    </w:lvl>
    <w:lvl w:ilvl="1" w:tplc="04130003" w:tentative="1">
      <w:start w:val="1"/>
      <w:numFmt w:val="bullet"/>
      <w:lvlText w:val="o"/>
      <w:lvlJc w:val="left"/>
      <w:pPr>
        <w:ind w:left="4270" w:hanging="360"/>
      </w:pPr>
      <w:rPr>
        <w:rFonts w:ascii="Courier New" w:hAnsi="Courier New" w:cs="Courier New" w:hint="default"/>
      </w:rPr>
    </w:lvl>
    <w:lvl w:ilvl="2" w:tplc="04130005" w:tentative="1">
      <w:start w:val="1"/>
      <w:numFmt w:val="bullet"/>
      <w:lvlText w:val=""/>
      <w:lvlJc w:val="left"/>
      <w:pPr>
        <w:ind w:left="4990" w:hanging="360"/>
      </w:pPr>
      <w:rPr>
        <w:rFonts w:ascii="Wingdings" w:hAnsi="Wingdings" w:hint="default"/>
      </w:rPr>
    </w:lvl>
    <w:lvl w:ilvl="3" w:tplc="04130001" w:tentative="1">
      <w:start w:val="1"/>
      <w:numFmt w:val="bullet"/>
      <w:lvlText w:val=""/>
      <w:lvlJc w:val="left"/>
      <w:pPr>
        <w:ind w:left="5710" w:hanging="360"/>
      </w:pPr>
      <w:rPr>
        <w:rFonts w:ascii="Symbol" w:hAnsi="Symbol" w:hint="default"/>
      </w:rPr>
    </w:lvl>
    <w:lvl w:ilvl="4" w:tplc="04130003" w:tentative="1">
      <w:start w:val="1"/>
      <w:numFmt w:val="bullet"/>
      <w:lvlText w:val="o"/>
      <w:lvlJc w:val="left"/>
      <w:pPr>
        <w:ind w:left="6430" w:hanging="360"/>
      </w:pPr>
      <w:rPr>
        <w:rFonts w:ascii="Courier New" w:hAnsi="Courier New" w:cs="Courier New" w:hint="default"/>
      </w:rPr>
    </w:lvl>
    <w:lvl w:ilvl="5" w:tplc="04130005" w:tentative="1">
      <w:start w:val="1"/>
      <w:numFmt w:val="bullet"/>
      <w:lvlText w:val=""/>
      <w:lvlJc w:val="left"/>
      <w:pPr>
        <w:ind w:left="7150" w:hanging="360"/>
      </w:pPr>
      <w:rPr>
        <w:rFonts w:ascii="Wingdings" w:hAnsi="Wingdings" w:hint="default"/>
      </w:rPr>
    </w:lvl>
    <w:lvl w:ilvl="6" w:tplc="04130001" w:tentative="1">
      <w:start w:val="1"/>
      <w:numFmt w:val="bullet"/>
      <w:lvlText w:val=""/>
      <w:lvlJc w:val="left"/>
      <w:pPr>
        <w:ind w:left="7870" w:hanging="360"/>
      </w:pPr>
      <w:rPr>
        <w:rFonts w:ascii="Symbol" w:hAnsi="Symbol" w:hint="default"/>
      </w:rPr>
    </w:lvl>
    <w:lvl w:ilvl="7" w:tplc="04130003" w:tentative="1">
      <w:start w:val="1"/>
      <w:numFmt w:val="bullet"/>
      <w:lvlText w:val="o"/>
      <w:lvlJc w:val="left"/>
      <w:pPr>
        <w:ind w:left="8590" w:hanging="360"/>
      </w:pPr>
      <w:rPr>
        <w:rFonts w:ascii="Courier New" w:hAnsi="Courier New" w:cs="Courier New" w:hint="default"/>
      </w:rPr>
    </w:lvl>
    <w:lvl w:ilvl="8" w:tplc="04130005" w:tentative="1">
      <w:start w:val="1"/>
      <w:numFmt w:val="bullet"/>
      <w:lvlText w:val=""/>
      <w:lvlJc w:val="left"/>
      <w:pPr>
        <w:ind w:left="9310" w:hanging="360"/>
      </w:pPr>
      <w:rPr>
        <w:rFonts w:ascii="Wingdings" w:hAnsi="Wingdings" w:hint="default"/>
      </w:rPr>
    </w:lvl>
  </w:abstractNum>
  <w:abstractNum w:abstractNumId="11" w15:restartNumberingAfterBreak="0">
    <w:nsid w:val="231D4887"/>
    <w:multiLevelType w:val="hybridMultilevel"/>
    <w:tmpl w:val="495E0102"/>
    <w:lvl w:ilvl="0" w:tplc="00AC0F7A">
      <w:start w:val="27"/>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7ED6CA4"/>
    <w:multiLevelType w:val="hybridMultilevel"/>
    <w:tmpl w:val="45EE4150"/>
    <w:lvl w:ilvl="0" w:tplc="00AC0F7A">
      <w:start w:val="27"/>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B395248"/>
    <w:multiLevelType w:val="hybridMultilevel"/>
    <w:tmpl w:val="1B58708C"/>
    <w:lvl w:ilvl="0" w:tplc="BF3291B4">
      <w:start w:val="1"/>
      <w:numFmt w:val="lowerLetter"/>
      <w:lvlText w:val="(%1)"/>
      <w:lvlJc w:val="left"/>
      <w:pPr>
        <w:ind w:left="2151" w:hanging="360"/>
      </w:pPr>
      <w:rPr>
        <w:rFonts w:hint="default"/>
      </w:rPr>
    </w:lvl>
    <w:lvl w:ilvl="1" w:tplc="04130019">
      <w:start w:val="1"/>
      <w:numFmt w:val="lowerLetter"/>
      <w:lvlText w:val="%2."/>
      <w:lvlJc w:val="left"/>
      <w:pPr>
        <w:ind w:left="2871" w:hanging="360"/>
      </w:pPr>
    </w:lvl>
    <w:lvl w:ilvl="2" w:tplc="0413001B" w:tentative="1">
      <w:start w:val="1"/>
      <w:numFmt w:val="lowerRoman"/>
      <w:lvlText w:val="%3."/>
      <w:lvlJc w:val="right"/>
      <w:pPr>
        <w:ind w:left="3591" w:hanging="180"/>
      </w:pPr>
    </w:lvl>
    <w:lvl w:ilvl="3" w:tplc="0413000F" w:tentative="1">
      <w:start w:val="1"/>
      <w:numFmt w:val="decimal"/>
      <w:lvlText w:val="%4."/>
      <w:lvlJc w:val="left"/>
      <w:pPr>
        <w:ind w:left="4311" w:hanging="360"/>
      </w:pPr>
    </w:lvl>
    <w:lvl w:ilvl="4" w:tplc="04130019" w:tentative="1">
      <w:start w:val="1"/>
      <w:numFmt w:val="lowerLetter"/>
      <w:lvlText w:val="%5."/>
      <w:lvlJc w:val="left"/>
      <w:pPr>
        <w:ind w:left="5031" w:hanging="360"/>
      </w:pPr>
    </w:lvl>
    <w:lvl w:ilvl="5" w:tplc="0413001B" w:tentative="1">
      <w:start w:val="1"/>
      <w:numFmt w:val="lowerRoman"/>
      <w:lvlText w:val="%6."/>
      <w:lvlJc w:val="right"/>
      <w:pPr>
        <w:ind w:left="5751" w:hanging="180"/>
      </w:pPr>
    </w:lvl>
    <w:lvl w:ilvl="6" w:tplc="0413000F" w:tentative="1">
      <w:start w:val="1"/>
      <w:numFmt w:val="decimal"/>
      <w:lvlText w:val="%7."/>
      <w:lvlJc w:val="left"/>
      <w:pPr>
        <w:ind w:left="6471" w:hanging="360"/>
      </w:pPr>
    </w:lvl>
    <w:lvl w:ilvl="7" w:tplc="04130019" w:tentative="1">
      <w:start w:val="1"/>
      <w:numFmt w:val="lowerLetter"/>
      <w:lvlText w:val="%8."/>
      <w:lvlJc w:val="left"/>
      <w:pPr>
        <w:ind w:left="7191" w:hanging="360"/>
      </w:pPr>
    </w:lvl>
    <w:lvl w:ilvl="8" w:tplc="0413001B" w:tentative="1">
      <w:start w:val="1"/>
      <w:numFmt w:val="lowerRoman"/>
      <w:lvlText w:val="%9."/>
      <w:lvlJc w:val="right"/>
      <w:pPr>
        <w:ind w:left="7911" w:hanging="180"/>
      </w:pPr>
    </w:lvl>
  </w:abstractNum>
  <w:abstractNum w:abstractNumId="14" w15:restartNumberingAfterBreak="0">
    <w:nsid w:val="2B495B2C"/>
    <w:multiLevelType w:val="hybridMultilevel"/>
    <w:tmpl w:val="CC70616E"/>
    <w:lvl w:ilvl="0" w:tplc="00AC0F7A">
      <w:start w:val="27"/>
      <w:numFmt w:val="bullet"/>
      <w:lvlText w:val="-"/>
      <w:lvlJc w:val="left"/>
      <w:pPr>
        <w:ind w:left="1428" w:hanging="360"/>
      </w:pPr>
      <w:rPr>
        <w:rFonts w:ascii="Times New Roman" w:eastAsia="Times New Roman" w:hAnsi="Times New Roman" w:cs="Times New Roman"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5" w15:restartNumberingAfterBreak="0">
    <w:nsid w:val="2E7741AE"/>
    <w:multiLevelType w:val="hybridMultilevel"/>
    <w:tmpl w:val="1B58708C"/>
    <w:lvl w:ilvl="0" w:tplc="BF3291B4">
      <w:start w:val="1"/>
      <w:numFmt w:val="lowerLetter"/>
      <w:lvlText w:val="(%1)"/>
      <w:lvlJc w:val="left"/>
      <w:pPr>
        <w:ind w:left="2151" w:hanging="360"/>
      </w:pPr>
      <w:rPr>
        <w:rFonts w:hint="default"/>
      </w:rPr>
    </w:lvl>
    <w:lvl w:ilvl="1" w:tplc="04130019">
      <w:start w:val="1"/>
      <w:numFmt w:val="lowerLetter"/>
      <w:lvlText w:val="%2."/>
      <w:lvlJc w:val="left"/>
      <w:pPr>
        <w:ind w:left="2871" w:hanging="360"/>
      </w:pPr>
    </w:lvl>
    <w:lvl w:ilvl="2" w:tplc="0413001B" w:tentative="1">
      <w:start w:val="1"/>
      <w:numFmt w:val="lowerRoman"/>
      <w:lvlText w:val="%3."/>
      <w:lvlJc w:val="right"/>
      <w:pPr>
        <w:ind w:left="3591" w:hanging="180"/>
      </w:pPr>
    </w:lvl>
    <w:lvl w:ilvl="3" w:tplc="0413000F" w:tentative="1">
      <w:start w:val="1"/>
      <w:numFmt w:val="decimal"/>
      <w:lvlText w:val="%4."/>
      <w:lvlJc w:val="left"/>
      <w:pPr>
        <w:ind w:left="4311" w:hanging="360"/>
      </w:pPr>
    </w:lvl>
    <w:lvl w:ilvl="4" w:tplc="04130019" w:tentative="1">
      <w:start w:val="1"/>
      <w:numFmt w:val="lowerLetter"/>
      <w:lvlText w:val="%5."/>
      <w:lvlJc w:val="left"/>
      <w:pPr>
        <w:ind w:left="5031" w:hanging="360"/>
      </w:pPr>
    </w:lvl>
    <w:lvl w:ilvl="5" w:tplc="0413001B" w:tentative="1">
      <w:start w:val="1"/>
      <w:numFmt w:val="lowerRoman"/>
      <w:lvlText w:val="%6."/>
      <w:lvlJc w:val="right"/>
      <w:pPr>
        <w:ind w:left="5751" w:hanging="180"/>
      </w:pPr>
    </w:lvl>
    <w:lvl w:ilvl="6" w:tplc="0413000F" w:tentative="1">
      <w:start w:val="1"/>
      <w:numFmt w:val="decimal"/>
      <w:lvlText w:val="%7."/>
      <w:lvlJc w:val="left"/>
      <w:pPr>
        <w:ind w:left="6471" w:hanging="360"/>
      </w:pPr>
    </w:lvl>
    <w:lvl w:ilvl="7" w:tplc="04130019" w:tentative="1">
      <w:start w:val="1"/>
      <w:numFmt w:val="lowerLetter"/>
      <w:lvlText w:val="%8."/>
      <w:lvlJc w:val="left"/>
      <w:pPr>
        <w:ind w:left="7191" w:hanging="360"/>
      </w:pPr>
    </w:lvl>
    <w:lvl w:ilvl="8" w:tplc="0413001B" w:tentative="1">
      <w:start w:val="1"/>
      <w:numFmt w:val="lowerRoman"/>
      <w:lvlText w:val="%9."/>
      <w:lvlJc w:val="right"/>
      <w:pPr>
        <w:ind w:left="7911" w:hanging="180"/>
      </w:pPr>
    </w:lvl>
  </w:abstractNum>
  <w:abstractNum w:abstractNumId="16" w15:restartNumberingAfterBreak="0">
    <w:nsid w:val="2EA0714D"/>
    <w:multiLevelType w:val="hybridMultilevel"/>
    <w:tmpl w:val="2D461F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FC31565"/>
    <w:multiLevelType w:val="hybridMultilevel"/>
    <w:tmpl w:val="12B2875C"/>
    <w:lvl w:ilvl="0" w:tplc="70D41664">
      <w:start w:val="1"/>
      <w:numFmt w:val="bullet"/>
      <w:lvlText w:val=""/>
      <w:lvlJc w:val="left"/>
      <w:pPr>
        <w:ind w:left="1440" w:hanging="360"/>
      </w:pPr>
      <w:rPr>
        <w:rFonts w:ascii="Symbol" w:hAnsi="Symbol"/>
      </w:rPr>
    </w:lvl>
    <w:lvl w:ilvl="1" w:tplc="6D1C395C">
      <w:start w:val="1"/>
      <w:numFmt w:val="bullet"/>
      <w:lvlText w:val=""/>
      <w:lvlJc w:val="left"/>
      <w:pPr>
        <w:ind w:left="1440" w:hanging="360"/>
      </w:pPr>
      <w:rPr>
        <w:rFonts w:ascii="Symbol" w:hAnsi="Symbol"/>
      </w:rPr>
    </w:lvl>
    <w:lvl w:ilvl="2" w:tplc="F18C199C">
      <w:start w:val="1"/>
      <w:numFmt w:val="bullet"/>
      <w:lvlText w:val=""/>
      <w:lvlJc w:val="left"/>
      <w:pPr>
        <w:ind w:left="1440" w:hanging="360"/>
      </w:pPr>
      <w:rPr>
        <w:rFonts w:ascii="Symbol" w:hAnsi="Symbol"/>
      </w:rPr>
    </w:lvl>
    <w:lvl w:ilvl="3" w:tplc="E946B4E2">
      <w:start w:val="1"/>
      <w:numFmt w:val="bullet"/>
      <w:lvlText w:val=""/>
      <w:lvlJc w:val="left"/>
      <w:pPr>
        <w:ind w:left="1440" w:hanging="360"/>
      </w:pPr>
      <w:rPr>
        <w:rFonts w:ascii="Symbol" w:hAnsi="Symbol"/>
      </w:rPr>
    </w:lvl>
    <w:lvl w:ilvl="4" w:tplc="C4EE62F2">
      <w:start w:val="1"/>
      <w:numFmt w:val="bullet"/>
      <w:lvlText w:val=""/>
      <w:lvlJc w:val="left"/>
      <w:pPr>
        <w:ind w:left="1440" w:hanging="360"/>
      </w:pPr>
      <w:rPr>
        <w:rFonts w:ascii="Symbol" w:hAnsi="Symbol"/>
      </w:rPr>
    </w:lvl>
    <w:lvl w:ilvl="5" w:tplc="55308A92">
      <w:start w:val="1"/>
      <w:numFmt w:val="bullet"/>
      <w:lvlText w:val=""/>
      <w:lvlJc w:val="left"/>
      <w:pPr>
        <w:ind w:left="1440" w:hanging="360"/>
      </w:pPr>
      <w:rPr>
        <w:rFonts w:ascii="Symbol" w:hAnsi="Symbol"/>
      </w:rPr>
    </w:lvl>
    <w:lvl w:ilvl="6" w:tplc="690C64A8">
      <w:start w:val="1"/>
      <w:numFmt w:val="bullet"/>
      <w:lvlText w:val=""/>
      <w:lvlJc w:val="left"/>
      <w:pPr>
        <w:ind w:left="1440" w:hanging="360"/>
      </w:pPr>
      <w:rPr>
        <w:rFonts w:ascii="Symbol" w:hAnsi="Symbol"/>
      </w:rPr>
    </w:lvl>
    <w:lvl w:ilvl="7" w:tplc="FEB294AC">
      <w:start w:val="1"/>
      <w:numFmt w:val="bullet"/>
      <w:lvlText w:val=""/>
      <w:lvlJc w:val="left"/>
      <w:pPr>
        <w:ind w:left="1440" w:hanging="360"/>
      </w:pPr>
      <w:rPr>
        <w:rFonts w:ascii="Symbol" w:hAnsi="Symbol"/>
      </w:rPr>
    </w:lvl>
    <w:lvl w:ilvl="8" w:tplc="25B874AA">
      <w:start w:val="1"/>
      <w:numFmt w:val="bullet"/>
      <w:lvlText w:val=""/>
      <w:lvlJc w:val="left"/>
      <w:pPr>
        <w:ind w:left="1440" w:hanging="360"/>
      </w:pPr>
      <w:rPr>
        <w:rFonts w:ascii="Symbol" w:hAnsi="Symbol"/>
      </w:rPr>
    </w:lvl>
  </w:abstractNum>
  <w:abstractNum w:abstractNumId="18" w15:restartNumberingAfterBreak="0">
    <w:nsid w:val="311D5235"/>
    <w:multiLevelType w:val="hybridMultilevel"/>
    <w:tmpl w:val="283E2E5A"/>
    <w:lvl w:ilvl="0" w:tplc="00AC0F7A">
      <w:start w:val="27"/>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2801805"/>
    <w:multiLevelType w:val="hybridMultilevel"/>
    <w:tmpl w:val="545E0D5A"/>
    <w:lvl w:ilvl="0" w:tplc="9A9AA55C">
      <w:start w:val="1"/>
      <w:numFmt w:val="decimal"/>
      <w:pStyle w:val="berschrift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3DE176B"/>
    <w:multiLevelType w:val="hybridMultilevel"/>
    <w:tmpl w:val="0DB2D6A6"/>
    <w:lvl w:ilvl="0" w:tplc="00AC0F7A">
      <w:start w:val="27"/>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46D6D01"/>
    <w:multiLevelType w:val="hybridMultilevel"/>
    <w:tmpl w:val="09205EDA"/>
    <w:lvl w:ilvl="0" w:tplc="00AC0F7A">
      <w:start w:val="27"/>
      <w:numFmt w:val="bullet"/>
      <w:lvlText w:val="-"/>
      <w:lvlJc w:val="left"/>
      <w:pPr>
        <w:ind w:left="1428" w:hanging="360"/>
      </w:pPr>
      <w:rPr>
        <w:rFonts w:ascii="Times New Roman" w:eastAsia="Times New Roman" w:hAnsi="Times New Roman" w:cs="Times New Roman"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2" w15:restartNumberingAfterBreak="0">
    <w:nsid w:val="35997B1B"/>
    <w:multiLevelType w:val="hybridMultilevel"/>
    <w:tmpl w:val="78CED140"/>
    <w:lvl w:ilvl="0" w:tplc="49F0083E">
      <w:start w:val="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854216D"/>
    <w:multiLevelType w:val="hybridMultilevel"/>
    <w:tmpl w:val="AF88788A"/>
    <w:lvl w:ilvl="0" w:tplc="AD983714">
      <w:start w:val="1"/>
      <w:numFmt w:val="lowerRoman"/>
      <w:pStyle w:val="berschrift6"/>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C247582"/>
    <w:multiLevelType w:val="hybridMultilevel"/>
    <w:tmpl w:val="68E82800"/>
    <w:lvl w:ilvl="0" w:tplc="DF5EDCA8">
      <w:start w:val="1"/>
      <w:numFmt w:val="bullet"/>
      <w:lvlText w:val=""/>
      <w:lvlJc w:val="left"/>
      <w:pPr>
        <w:ind w:left="720" w:hanging="360"/>
      </w:pPr>
      <w:rPr>
        <w:rFonts w:ascii="Symbol" w:hAnsi="Symbol"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CB22700"/>
    <w:multiLevelType w:val="hybridMultilevel"/>
    <w:tmpl w:val="F6C45CF8"/>
    <w:lvl w:ilvl="0" w:tplc="B13AA0EC">
      <w:start w:val="19"/>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FBF4EE7"/>
    <w:multiLevelType w:val="hybridMultilevel"/>
    <w:tmpl w:val="4EBAC5BA"/>
    <w:lvl w:ilvl="0" w:tplc="00AC0F7A">
      <w:start w:val="27"/>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FEA3845"/>
    <w:multiLevelType w:val="hybridMultilevel"/>
    <w:tmpl w:val="6674CAFE"/>
    <w:lvl w:ilvl="0" w:tplc="00AC0F7A">
      <w:start w:val="27"/>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7DF755B"/>
    <w:multiLevelType w:val="hybridMultilevel"/>
    <w:tmpl w:val="0032BB48"/>
    <w:lvl w:ilvl="0" w:tplc="00AC0F7A">
      <w:start w:val="27"/>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C715BC9"/>
    <w:multiLevelType w:val="hybridMultilevel"/>
    <w:tmpl w:val="8F9A9108"/>
    <w:lvl w:ilvl="0" w:tplc="297A9070">
      <w:start w:val="1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1AC774D"/>
    <w:multiLevelType w:val="hybridMultilevel"/>
    <w:tmpl w:val="76284296"/>
    <w:lvl w:ilvl="0" w:tplc="00AC0F7A">
      <w:start w:val="27"/>
      <w:numFmt w:val="bullet"/>
      <w:lvlText w:val="-"/>
      <w:lvlJc w:val="left"/>
      <w:pPr>
        <w:ind w:left="1486" w:hanging="360"/>
      </w:pPr>
      <w:rPr>
        <w:rFonts w:ascii="Times New Roman" w:eastAsia="Times New Roman" w:hAnsi="Times New Roman" w:cs="Times New Roman"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31" w15:restartNumberingAfterBreak="0">
    <w:nsid w:val="51B43E3C"/>
    <w:multiLevelType w:val="hybridMultilevel"/>
    <w:tmpl w:val="822E8A44"/>
    <w:lvl w:ilvl="0" w:tplc="561CFA28">
      <w:start w:val="19"/>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3E71550"/>
    <w:multiLevelType w:val="hybridMultilevel"/>
    <w:tmpl w:val="0E786758"/>
    <w:lvl w:ilvl="0" w:tplc="54D27C74">
      <w:start w:val="27"/>
      <w:numFmt w:val="lowerLetter"/>
      <w:lvlText w:val="(%1)"/>
      <w:lvlJc w:val="left"/>
      <w:pPr>
        <w:ind w:left="3192" w:hanging="360"/>
      </w:pPr>
      <w:rPr>
        <w:rFonts w:hint="default"/>
      </w:rPr>
    </w:lvl>
    <w:lvl w:ilvl="1" w:tplc="04130019">
      <w:start w:val="1"/>
      <w:numFmt w:val="lowerLetter"/>
      <w:lvlText w:val="%2."/>
      <w:lvlJc w:val="left"/>
      <w:pPr>
        <w:ind w:left="3912" w:hanging="360"/>
      </w:pPr>
    </w:lvl>
    <w:lvl w:ilvl="2" w:tplc="0413001B">
      <w:start w:val="1"/>
      <w:numFmt w:val="lowerRoman"/>
      <w:lvlText w:val="%3."/>
      <w:lvlJc w:val="right"/>
      <w:pPr>
        <w:ind w:left="4632" w:hanging="180"/>
      </w:pPr>
    </w:lvl>
    <w:lvl w:ilvl="3" w:tplc="0413000F" w:tentative="1">
      <w:start w:val="1"/>
      <w:numFmt w:val="decimal"/>
      <w:lvlText w:val="%4."/>
      <w:lvlJc w:val="left"/>
      <w:pPr>
        <w:ind w:left="5352" w:hanging="360"/>
      </w:pPr>
    </w:lvl>
    <w:lvl w:ilvl="4" w:tplc="04130019" w:tentative="1">
      <w:start w:val="1"/>
      <w:numFmt w:val="lowerLetter"/>
      <w:lvlText w:val="%5."/>
      <w:lvlJc w:val="left"/>
      <w:pPr>
        <w:ind w:left="6072" w:hanging="360"/>
      </w:pPr>
    </w:lvl>
    <w:lvl w:ilvl="5" w:tplc="0413001B" w:tentative="1">
      <w:start w:val="1"/>
      <w:numFmt w:val="lowerRoman"/>
      <w:lvlText w:val="%6."/>
      <w:lvlJc w:val="right"/>
      <w:pPr>
        <w:ind w:left="6792" w:hanging="180"/>
      </w:pPr>
    </w:lvl>
    <w:lvl w:ilvl="6" w:tplc="0413000F" w:tentative="1">
      <w:start w:val="1"/>
      <w:numFmt w:val="decimal"/>
      <w:lvlText w:val="%7."/>
      <w:lvlJc w:val="left"/>
      <w:pPr>
        <w:ind w:left="7512" w:hanging="360"/>
      </w:pPr>
    </w:lvl>
    <w:lvl w:ilvl="7" w:tplc="04130019" w:tentative="1">
      <w:start w:val="1"/>
      <w:numFmt w:val="lowerLetter"/>
      <w:lvlText w:val="%8."/>
      <w:lvlJc w:val="left"/>
      <w:pPr>
        <w:ind w:left="8232" w:hanging="360"/>
      </w:pPr>
    </w:lvl>
    <w:lvl w:ilvl="8" w:tplc="0413001B" w:tentative="1">
      <w:start w:val="1"/>
      <w:numFmt w:val="lowerRoman"/>
      <w:lvlText w:val="%9."/>
      <w:lvlJc w:val="right"/>
      <w:pPr>
        <w:ind w:left="8952" w:hanging="180"/>
      </w:pPr>
    </w:lvl>
  </w:abstractNum>
  <w:abstractNum w:abstractNumId="33" w15:restartNumberingAfterBreak="0">
    <w:nsid w:val="54E52F46"/>
    <w:multiLevelType w:val="hybridMultilevel"/>
    <w:tmpl w:val="FC2CC170"/>
    <w:lvl w:ilvl="0" w:tplc="E2E648EC">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51835A7"/>
    <w:multiLevelType w:val="hybridMultilevel"/>
    <w:tmpl w:val="08BC7DD2"/>
    <w:lvl w:ilvl="0" w:tplc="00AC0F7A">
      <w:start w:val="27"/>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95A2088"/>
    <w:multiLevelType w:val="hybridMultilevel"/>
    <w:tmpl w:val="693C7FB6"/>
    <w:lvl w:ilvl="0" w:tplc="00AC0F7A">
      <w:start w:val="27"/>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9D2194E"/>
    <w:multiLevelType w:val="hybridMultilevel"/>
    <w:tmpl w:val="F5183FCA"/>
    <w:lvl w:ilvl="0" w:tplc="00AC0F7A">
      <w:start w:val="27"/>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CFE4B01"/>
    <w:multiLevelType w:val="hybridMultilevel"/>
    <w:tmpl w:val="522A7A8C"/>
    <w:lvl w:ilvl="0" w:tplc="00AC0F7A">
      <w:start w:val="27"/>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D902981"/>
    <w:multiLevelType w:val="multilevel"/>
    <w:tmpl w:val="084E0EFE"/>
    <w:lvl w:ilvl="0">
      <w:start w:val="1"/>
      <w:numFmt w:val="decimal"/>
      <w:lvlText w:val="%1."/>
      <w:lvlJc w:val="left"/>
      <w:pPr>
        <w:ind w:left="720" w:hanging="360"/>
      </w:pPr>
      <w:rPr>
        <w:rFonts w:hint="default"/>
        <w:b w:val="0"/>
        <w:bCs w:val="0"/>
      </w:rPr>
    </w:lvl>
    <w:lvl w:ilvl="1">
      <w:start w:val="1"/>
      <w:numFmt w:val="decimal"/>
      <w:isLgl/>
      <w:lvlText w:val="%1.%2"/>
      <w:lvlJc w:val="left"/>
      <w:pPr>
        <w:ind w:left="1411" w:hanging="703"/>
      </w:pPr>
      <w:rPr>
        <w:rFonts w:hint="default"/>
        <w:i w:val="0"/>
      </w:rPr>
    </w:lvl>
    <w:lvl w:ilvl="2">
      <w:start w:val="1"/>
      <w:numFmt w:val="decimal"/>
      <w:isLgl/>
      <w:lvlText w:val="%1.%2.%3"/>
      <w:lvlJc w:val="left"/>
      <w:pPr>
        <w:ind w:left="1776" w:hanging="720"/>
      </w:pPr>
      <w:rPr>
        <w:rFonts w:hint="default"/>
        <w:i w:val="0"/>
      </w:rPr>
    </w:lvl>
    <w:lvl w:ilvl="3">
      <w:start w:val="1"/>
      <w:numFmt w:val="decimal"/>
      <w:isLgl/>
      <w:lvlText w:val="%1.%2.%3.%4"/>
      <w:lvlJc w:val="left"/>
      <w:pPr>
        <w:ind w:left="2124" w:hanging="720"/>
      </w:pPr>
      <w:rPr>
        <w:rFonts w:hint="default"/>
        <w:i w:val="0"/>
      </w:rPr>
    </w:lvl>
    <w:lvl w:ilvl="4">
      <w:start w:val="1"/>
      <w:numFmt w:val="decimal"/>
      <w:isLgl/>
      <w:lvlText w:val="%1.%2.%3.%4.%5"/>
      <w:lvlJc w:val="left"/>
      <w:pPr>
        <w:ind w:left="2832" w:hanging="1080"/>
      </w:pPr>
      <w:rPr>
        <w:rFonts w:hint="default"/>
        <w:i w:val="0"/>
      </w:rPr>
    </w:lvl>
    <w:lvl w:ilvl="5">
      <w:start w:val="1"/>
      <w:numFmt w:val="decimal"/>
      <w:isLgl/>
      <w:lvlText w:val="%1.%2.%3.%4.%5.%6"/>
      <w:lvlJc w:val="left"/>
      <w:pPr>
        <w:ind w:left="3180" w:hanging="1080"/>
      </w:pPr>
      <w:rPr>
        <w:rFonts w:hint="default"/>
        <w:i w:val="0"/>
      </w:rPr>
    </w:lvl>
    <w:lvl w:ilvl="6">
      <w:start w:val="1"/>
      <w:numFmt w:val="decimal"/>
      <w:isLgl/>
      <w:lvlText w:val="%1.%2.%3.%4.%5.%6.%7"/>
      <w:lvlJc w:val="left"/>
      <w:pPr>
        <w:ind w:left="3888" w:hanging="1440"/>
      </w:pPr>
      <w:rPr>
        <w:rFonts w:hint="default"/>
        <w:i w:val="0"/>
      </w:rPr>
    </w:lvl>
    <w:lvl w:ilvl="7">
      <w:start w:val="1"/>
      <w:numFmt w:val="decimal"/>
      <w:isLgl/>
      <w:lvlText w:val="%1.%2.%3.%4.%5.%6.%7.%8"/>
      <w:lvlJc w:val="left"/>
      <w:pPr>
        <w:ind w:left="4236" w:hanging="1440"/>
      </w:pPr>
      <w:rPr>
        <w:rFonts w:hint="default"/>
        <w:i w:val="0"/>
      </w:rPr>
    </w:lvl>
    <w:lvl w:ilvl="8">
      <w:start w:val="1"/>
      <w:numFmt w:val="decimal"/>
      <w:isLgl/>
      <w:lvlText w:val="%1.%2.%3.%4.%5.%6.%7.%8.%9"/>
      <w:lvlJc w:val="left"/>
      <w:pPr>
        <w:ind w:left="4944" w:hanging="1800"/>
      </w:pPr>
      <w:rPr>
        <w:rFonts w:hint="default"/>
        <w:i w:val="0"/>
      </w:rPr>
    </w:lvl>
  </w:abstractNum>
  <w:abstractNum w:abstractNumId="39" w15:restartNumberingAfterBreak="0">
    <w:nsid w:val="5F557EED"/>
    <w:multiLevelType w:val="hybridMultilevel"/>
    <w:tmpl w:val="BA2256C6"/>
    <w:lvl w:ilvl="0" w:tplc="4D8EB158">
      <w:start w:val="1"/>
      <w:numFmt w:val="lowerLetter"/>
      <w:lvlText w:val="(%1)"/>
      <w:lvlJc w:val="left"/>
      <w:pPr>
        <w:ind w:left="720" w:hanging="360"/>
      </w:pPr>
      <w:rPr>
        <w:rFonts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34A5E1C"/>
    <w:multiLevelType w:val="hybridMultilevel"/>
    <w:tmpl w:val="516AA49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6C8428D"/>
    <w:multiLevelType w:val="hybridMultilevel"/>
    <w:tmpl w:val="06C05714"/>
    <w:lvl w:ilvl="0" w:tplc="00AC0F7A">
      <w:start w:val="27"/>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2642D21"/>
    <w:multiLevelType w:val="hybridMultilevel"/>
    <w:tmpl w:val="29168D58"/>
    <w:lvl w:ilvl="0" w:tplc="DAC2E7AA">
      <w:start w:val="1"/>
      <w:numFmt w:val="decimal"/>
      <w:lvlText w:val="%1)"/>
      <w:lvlJc w:val="left"/>
      <w:pPr>
        <w:ind w:left="1080" w:hanging="360"/>
      </w:pPr>
    </w:lvl>
    <w:lvl w:ilvl="1" w:tplc="FEF0F2EE">
      <w:start w:val="1"/>
      <w:numFmt w:val="decimal"/>
      <w:lvlText w:val="%2)"/>
      <w:lvlJc w:val="left"/>
      <w:pPr>
        <w:ind w:left="1080" w:hanging="360"/>
      </w:pPr>
    </w:lvl>
    <w:lvl w:ilvl="2" w:tplc="29D2EC48">
      <w:start w:val="1"/>
      <w:numFmt w:val="decimal"/>
      <w:lvlText w:val="%3)"/>
      <w:lvlJc w:val="left"/>
      <w:pPr>
        <w:ind w:left="1080" w:hanging="360"/>
      </w:pPr>
    </w:lvl>
    <w:lvl w:ilvl="3" w:tplc="0D025C2C">
      <w:start w:val="1"/>
      <w:numFmt w:val="decimal"/>
      <w:lvlText w:val="%4)"/>
      <w:lvlJc w:val="left"/>
      <w:pPr>
        <w:ind w:left="1080" w:hanging="360"/>
      </w:pPr>
    </w:lvl>
    <w:lvl w:ilvl="4" w:tplc="69E6F29C">
      <w:start w:val="1"/>
      <w:numFmt w:val="decimal"/>
      <w:lvlText w:val="%5)"/>
      <w:lvlJc w:val="left"/>
      <w:pPr>
        <w:ind w:left="1080" w:hanging="360"/>
      </w:pPr>
    </w:lvl>
    <w:lvl w:ilvl="5" w:tplc="14A8B7A6">
      <w:start w:val="1"/>
      <w:numFmt w:val="decimal"/>
      <w:lvlText w:val="%6)"/>
      <w:lvlJc w:val="left"/>
      <w:pPr>
        <w:ind w:left="1080" w:hanging="360"/>
      </w:pPr>
    </w:lvl>
    <w:lvl w:ilvl="6" w:tplc="CB02B9BA">
      <w:start w:val="1"/>
      <w:numFmt w:val="decimal"/>
      <w:lvlText w:val="%7)"/>
      <w:lvlJc w:val="left"/>
      <w:pPr>
        <w:ind w:left="1080" w:hanging="360"/>
      </w:pPr>
    </w:lvl>
    <w:lvl w:ilvl="7" w:tplc="864A54DC">
      <w:start w:val="1"/>
      <w:numFmt w:val="decimal"/>
      <w:lvlText w:val="%8)"/>
      <w:lvlJc w:val="left"/>
      <w:pPr>
        <w:ind w:left="1080" w:hanging="360"/>
      </w:pPr>
    </w:lvl>
    <w:lvl w:ilvl="8" w:tplc="F6BC441E">
      <w:start w:val="1"/>
      <w:numFmt w:val="decimal"/>
      <w:lvlText w:val="%9)"/>
      <w:lvlJc w:val="left"/>
      <w:pPr>
        <w:ind w:left="1080" w:hanging="360"/>
      </w:pPr>
    </w:lvl>
  </w:abstractNum>
  <w:abstractNum w:abstractNumId="43" w15:restartNumberingAfterBreak="0">
    <w:nsid w:val="78077A0D"/>
    <w:multiLevelType w:val="hybridMultilevel"/>
    <w:tmpl w:val="0E786758"/>
    <w:lvl w:ilvl="0" w:tplc="54D27C74">
      <w:start w:val="27"/>
      <w:numFmt w:val="lowerLetter"/>
      <w:lvlText w:val="(%1)"/>
      <w:lvlJc w:val="left"/>
      <w:pPr>
        <w:ind w:left="3192" w:hanging="360"/>
      </w:pPr>
      <w:rPr>
        <w:rFonts w:hint="default"/>
      </w:rPr>
    </w:lvl>
    <w:lvl w:ilvl="1" w:tplc="04130019">
      <w:start w:val="1"/>
      <w:numFmt w:val="lowerLetter"/>
      <w:lvlText w:val="%2."/>
      <w:lvlJc w:val="left"/>
      <w:pPr>
        <w:ind w:left="3912" w:hanging="360"/>
      </w:pPr>
    </w:lvl>
    <w:lvl w:ilvl="2" w:tplc="0413001B">
      <w:start w:val="1"/>
      <w:numFmt w:val="lowerRoman"/>
      <w:lvlText w:val="%3."/>
      <w:lvlJc w:val="right"/>
      <w:pPr>
        <w:ind w:left="4632" w:hanging="180"/>
      </w:pPr>
    </w:lvl>
    <w:lvl w:ilvl="3" w:tplc="0413000F" w:tentative="1">
      <w:start w:val="1"/>
      <w:numFmt w:val="decimal"/>
      <w:lvlText w:val="%4."/>
      <w:lvlJc w:val="left"/>
      <w:pPr>
        <w:ind w:left="5352" w:hanging="360"/>
      </w:pPr>
    </w:lvl>
    <w:lvl w:ilvl="4" w:tplc="04130019" w:tentative="1">
      <w:start w:val="1"/>
      <w:numFmt w:val="lowerLetter"/>
      <w:lvlText w:val="%5."/>
      <w:lvlJc w:val="left"/>
      <w:pPr>
        <w:ind w:left="6072" w:hanging="360"/>
      </w:pPr>
    </w:lvl>
    <w:lvl w:ilvl="5" w:tplc="0413001B" w:tentative="1">
      <w:start w:val="1"/>
      <w:numFmt w:val="lowerRoman"/>
      <w:lvlText w:val="%6."/>
      <w:lvlJc w:val="right"/>
      <w:pPr>
        <w:ind w:left="6792" w:hanging="180"/>
      </w:pPr>
    </w:lvl>
    <w:lvl w:ilvl="6" w:tplc="0413000F" w:tentative="1">
      <w:start w:val="1"/>
      <w:numFmt w:val="decimal"/>
      <w:lvlText w:val="%7."/>
      <w:lvlJc w:val="left"/>
      <w:pPr>
        <w:ind w:left="7512" w:hanging="360"/>
      </w:pPr>
    </w:lvl>
    <w:lvl w:ilvl="7" w:tplc="04130019" w:tentative="1">
      <w:start w:val="1"/>
      <w:numFmt w:val="lowerLetter"/>
      <w:lvlText w:val="%8."/>
      <w:lvlJc w:val="left"/>
      <w:pPr>
        <w:ind w:left="8232" w:hanging="360"/>
      </w:pPr>
    </w:lvl>
    <w:lvl w:ilvl="8" w:tplc="0413001B" w:tentative="1">
      <w:start w:val="1"/>
      <w:numFmt w:val="lowerRoman"/>
      <w:lvlText w:val="%9."/>
      <w:lvlJc w:val="right"/>
      <w:pPr>
        <w:ind w:left="8952" w:hanging="180"/>
      </w:pPr>
    </w:lvl>
  </w:abstractNum>
  <w:abstractNum w:abstractNumId="44" w15:restartNumberingAfterBreak="0">
    <w:nsid w:val="79515F33"/>
    <w:multiLevelType w:val="hybridMultilevel"/>
    <w:tmpl w:val="6FD4B8CC"/>
    <w:lvl w:ilvl="0" w:tplc="F6A83A20">
      <w:start w:val="1"/>
      <w:numFmt w:val="lowerLetter"/>
      <w:pStyle w:val="berschrift5"/>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CB03EC4"/>
    <w:multiLevelType w:val="hybridMultilevel"/>
    <w:tmpl w:val="2BC231E8"/>
    <w:lvl w:ilvl="0" w:tplc="00AC0F7A">
      <w:start w:val="27"/>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E666129"/>
    <w:multiLevelType w:val="hybridMultilevel"/>
    <w:tmpl w:val="827066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FF07B3F"/>
    <w:multiLevelType w:val="hybridMultilevel"/>
    <w:tmpl w:val="08F29CD4"/>
    <w:lvl w:ilvl="0" w:tplc="00AC0F7A">
      <w:start w:val="27"/>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5"/>
  </w:num>
  <w:num w:numId="2">
    <w:abstractNumId w:val="24"/>
  </w:num>
  <w:num w:numId="3">
    <w:abstractNumId w:val="9"/>
  </w:num>
  <w:num w:numId="4">
    <w:abstractNumId w:val="46"/>
  </w:num>
  <w:num w:numId="5">
    <w:abstractNumId w:val="8"/>
  </w:num>
  <w:num w:numId="6">
    <w:abstractNumId w:val="38"/>
  </w:num>
  <w:num w:numId="7">
    <w:abstractNumId w:val="12"/>
  </w:num>
  <w:num w:numId="8">
    <w:abstractNumId w:val="11"/>
  </w:num>
  <w:num w:numId="9">
    <w:abstractNumId w:val="6"/>
  </w:num>
  <w:num w:numId="10">
    <w:abstractNumId w:val="15"/>
  </w:num>
  <w:num w:numId="11">
    <w:abstractNumId w:val="5"/>
  </w:num>
  <w:num w:numId="12">
    <w:abstractNumId w:val="39"/>
  </w:num>
  <w:num w:numId="13">
    <w:abstractNumId w:val="7"/>
  </w:num>
  <w:num w:numId="14">
    <w:abstractNumId w:val="33"/>
  </w:num>
  <w:num w:numId="15">
    <w:abstractNumId w:val="8"/>
    <w:lvlOverride w:ilvl="0">
      <w:startOverride w:val="2"/>
    </w:lvlOverride>
    <w:lvlOverride w:ilvl="1">
      <w:startOverride w:val="1"/>
    </w:lvlOverride>
    <w:lvlOverride w:ilvl="2">
      <w:startOverride w:val="1"/>
    </w:lvlOverride>
  </w:num>
  <w:num w:numId="16">
    <w:abstractNumId w:val="8"/>
    <w:lvlOverride w:ilvl="0">
      <w:startOverride w:val="2"/>
    </w:lvlOverride>
    <w:lvlOverride w:ilvl="1">
      <w:startOverride w:val="1"/>
    </w:lvlOverride>
  </w:num>
  <w:num w:numId="17">
    <w:abstractNumId w:val="0"/>
  </w:num>
  <w:num w:numId="18">
    <w:abstractNumId w:val="41"/>
  </w:num>
  <w:num w:numId="19">
    <w:abstractNumId w:val="19"/>
  </w:num>
  <w:num w:numId="20">
    <w:abstractNumId w:val="14"/>
  </w:num>
  <w:num w:numId="21">
    <w:abstractNumId w:val="30"/>
  </w:num>
  <w:num w:numId="22">
    <w:abstractNumId w:val="21"/>
  </w:num>
  <w:num w:numId="23">
    <w:abstractNumId w:val="36"/>
  </w:num>
  <w:num w:numId="24">
    <w:abstractNumId w:val="37"/>
  </w:num>
  <w:num w:numId="25">
    <w:abstractNumId w:val="34"/>
  </w:num>
  <w:num w:numId="26">
    <w:abstractNumId w:val="26"/>
  </w:num>
  <w:num w:numId="27">
    <w:abstractNumId w:val="47"/>
  </w:num>
  <w:num w:numId="28">
    <w:abstractNumId w:val="18"/>
  </w:num>
  <w:num w:numId="29">
    <w:abstractNumId w:val="28"/>
  </w:num>
  <w:num w:numId="30">
    <w:abstractNumId w:val="32"/>
  </w:num>
  <w:num w:numId="31">
    <w:abstractNumId w:val="27"/>
  </w:num>
  <w:num w:numId="32">
    <w:abstractNumId w:val="10"/>
  </w:num>
  <w:num w:numId="33">
    <w:abstractNumId w:val="4"/>
  </w:num>
  <w:num w:numId="34">
    <w:abstractNumId w:val="43"/>
  </w:num>
  <w:num w:numId="35">
    <w:abstractNumId w:val="35"/>
  </w:num>
  <w:num w:numId="36">
    <w:abstractNumId w:val="20"/>
  </w:num>
  <w:num w:numId="37">
    <w:abstractNumId w:val="44"/>
  </w:num>
  <w:num w:numId="38">
    <w:abstractNumId w:val="44"/>
    <w:lvlOverride w:ilvl="0">
      <w:startOverride w:val="1"/>
    </w:lvlOverride>
  </w:num>
  <w:num w:numId="39">
    <w:abstractNumId w:val="23"/>
  </w:num>
  <w:num w:numId="40">
    <w:abstractNumId w:val="23"/>
    <w:lvlOverride w:ilvl="0">
      <w:startOverride w:val="1"/>
    </w:lvlOverride>
  </w:num>
  <w:num w:numId="41">
    <w:abstractNumId w:val="44"/>
    <w:lvlOverride w:ilvl="0">
      <w:startOverride w:val="1"/>
    </w:lvlOverride>
  </w:num>
  <w:num w:numId="42">
    <w:abstractNumId w:val="23"/>
    <w:lvlOverride w:ilvl="0">
      <w:startOverride w:val="1"/>
    </w:lvlOverride>
  </w:num>
  <w:num w:numId="43">
    <w:abstractNumId w:val="23"/>
    <w:lvlOverride w:ilvl="0">
      <w:startOverride w:val="1"/>
    </w:lvlOverride>
  </w:num>
  <w:num w:numId="44">
    <w:abstractNumId w:val="44"/>
    <w:lvlOverride w:ilvl="0">
      <w:startOverride w:val="1"/>
    </w:lvlOverride>
  </w:num>
  <w:num w:numId="45">
    <w:abstractNumId w:val="44"/>
    <w:lvlOverride w:ilvl="0">
      <w:startOverride w:val="1"/>
    </w:lvlOverride>
  </w:num>
  <w:num w:numId="46">
    <w:abstractNumId w:val="23"/>
    <w:lvlOverride w:ilvl="0">
      <w:startOverride w:val="1"/>
    </w:lvlOverride>
  </w:num>
  <w:num w:numId="47">
    <w:abstractNumId w:val="23"/>
    <w:lvlOverride w:ilvl="0">
      <w:startOverride w:val="1"/>
    </w:lvlOverride>
  </w:num>
  <w:num w:numId="48">
    <w:abstractNumId w:val="44"/>
    <w:lvlOverride w:ilvl="0">
      <w:startOverride w:val="1"/>
    </w:lvlOverride>
  </w:num>
  <w:num w:numId="49">
    <w:abstractNumId w:val="23"/>
    <w:lvlOverride w:ilvl="0">
      <w:startOverride w:val="1"/>
    </w:lvlOverride>
  </w:num>
  <w:num w:numId="50">
    <w:abstractNumId w:val="23"/>
    <w:lvlOverride w:ilvl="0">
      <w:startOverride w:val="1"/>
    </w:lvlOverride>
  </w:num>
  <w:num w:numId="51">
    <w:abstractNumId w:val="44"/>
    <w:lvlOverride w:ilvl="0">
      <w:startOverride w:val="1"/>
    </w:lvlOverride>
  </w:num>
  <w:num w:numId="52">
    <w:abstractNumId w:val="44"/>
    <w:lvlOverride w:ilvl="0">
      <w:startOverride w:val="1"/>
    </w:lvlOverride>
  </w:num>
  <w:num w:numId="53">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num>
  <w:num w:numId="55">
    <w:abstractNumId w:val="17"/>
  </w:num>
  <w:num w:numId="56">
    <w:abstractNumId w:val="1"/>
  </w:num>
  <w:num w:numId="57">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6"/>
  </w:num>
  <w:num w:numId="59">
    <w:abstractNumId w:val="25"/>
  </w:num>
  <w:num w:numId="60">
    <w:abstractNumId w:val="3"/>
  </w:num>
  <w:num w:numId="61">
    <w:abstractNumId w:val="42"/>
  </w:num>
  <w:num w:numId="62">
    <w:abstractNumId w:val="2"/>
  </w:num>
  <w:num w:numId="63">
    <w:abstractNumId w:val="31"/>
  </w:num>
  <w:num w:numId="64">
    <w:abstractNumId w:val="40"/>
  </w:num>
  <w:num w:numId="65">
    <w:abstractNumId w:val="22"/>
  </w:num>
  <w:num w:numId="66">
    <w:abstractNumId w:val="2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de-DE" w:vendorID="64" w:dllVersion="6" w:nlCheck="1" w:checkStyle="1"/>
  <w:activeWritingStyle w:appName="MSWord" w:lang="en-US" w:vendorID="64" w:dllVersion="6" w:nlCheck="1" w:checkStyle="1"/>
  <w:activeWritingStyle w:appName="MSWord" w:lang="fr-FR" w:vendorID="64" w:dllVersion="6"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xNDK0NDM0MTcxMTBU0lEKTi0uzszPAykwNqsFAJS3i0stAAAA"/>
  </w:docVars>
  <w:rsids>
    <w:rsidRoot w:val="00B73167"/>
    <w:rsid w:val="000009D7"/>
    <w:rsid w:val="0000412B"/>
    <w:rsid w:val="000041A0"/>
    <w:rsid w:val="00004CFB"/>
    <w:rsid w:val="00005741"/>
    <w:rsid w:val="00006663"/>
    <w:rsid w:val="00006D6B"/>
    <w:rsid w:val="00006E12"/>
    <w:rsid w:val="000078C5"/>
    <w:rsid w:val="00007EAC"/>
    <w:rsid w:val="00007F79"/>
    <w:rsid w:val="00010660"/>
    <w:rsid w:val="00014232"/>
    <w:rsid w:val="000163C9"/>
    <w:rsid w:val="00017267"/>
    <w:rsid w:val="00017849"/>
    <w:rsid w:val="00020CFB"/>
    <w:rsid w:val="00021124"/>
    <w:rsid w:val="00021ED2"/>
    <w:rsid w:val="00022311"/>
    <w:rsid w:val="0002237E"/>
    <w:rsid w:val="00022A26"/>
    <w:rsid w:val="00022AD3"/>
    <w:rsid w:val="00022BD9"/>
    <w:rsid w:val="000238AA"/>
    <w:rsid w:val="00025170"/>
    <w:rsid w:val="0002631F"/>
    <w:rsid w:val="0002649B"/>
    <w:rsid w:val="00026703"/>
    <w:rsid w:val="00027010"/>
    <w:rsid w:val="00027393"/>
    <w:rsid w:val="00027816"/>
    <w:rsid w:val="00030C63"/>
    <w:rsid w:val="00031305"/>
    <w:rsid w:val="00031663"/>
    <w:rsid w:val="00033007"/>
    <w:rsid w:val="00033857"/>
    <w:rsid w:val="00034AE0"/>
    <w:rsid w:val="00035111"/>
    <w:rsid w:val="0003594D"/>
    <w:rsid w:val="000368A6"/>
    <w:rsid w:val="00036FE3"/>
    <w:rsid w:val="00037654"/>
    <w:rsid w:val="00037F34"/>
    <w:rsid w:val="0004010A"/>
    <w:rsid w:val="000404AF"/>
    <w:rsid w:val="000405AA"/>
    <w:rsid w:val="00040857"/>
    <w:rsid w:val="00041122"/>
    <w:rsid w:val="000436FE"/>
    <w:rsid w:val="00044EB6"/>
    <w:rsid w:val="000451EA"/>
    <w:rsid w:val="0004549E"/>
    <w:rsid w:val="0004559D"/>
    <w:rsid w:val="00045D26"/>
    <w:rsid w:val="00047453"/>
    <w:rsid w:val="00047816"/>
    <w:rsid w:val="00047A38"/>
    <w:rsid w:val="00050240"/>
    <w:rsid w:val="00050B2E"/>
    <w:rsid w:val="00050F4B"/>
    <w:rsid w:val="0005340F"/>
    <w:rsid w:val="000538B8"/>
    <w:rsid w:val="00053D09"/>
    <w:rsid w:val="00054883"/>
    <w:rsid w:val="00054999"/>
    <w:rsid w:val="00054A66"/>
    <w:rsid w:val="00055777"/>
    <w:rsid w:val="00055C20"/>
    <w:rsid w:val="00055E9D"/>
    <w:rsid w:val="00055FDC"/>
    <w:rsid w:val="00056102"/>
    <w:rsid w:val="00056687"/>
    <w:rsid w:val="0005759C"/>
    <w:rsid w:val="0005768A"/>
    <w:rsid w:val="00060FC5"/>
    <w:rsid w:val="00061338"/>
    <w:rsid w:val="00061D9A"/>
    <w:rsid w:val="000631B5"/>
    <w:rsid w:val="000631C4"/>
    <w:rsid w:val="00063998"/>
    <w:rsid w:val="000649DE"/>
    <w:rsid w:val="00066CD0"/>
    <w:rsid w:val="000674B4"/>
    <w:rsid w:val="00067795"/>
    <w:rsid w:val="00067E66"/>
    <w:rsid w:val="0007010D"/>
    <w:rsid w:val="00071319"/>
    <w:rsid w:val="00071989"/>
    <w:rsid w:val="0007212E"/>
    <w:rsid w:val="00072178"/>
    <w:rsid w:val="00072E16"/>
    <w:rsid w:val="00074655"/>
    <w:rsid w:val="000747EC"/>
    <w:rsid w:val="00077F26"/>
    <w:rsid w:val="000801D5"/>
    <w:rsid w:val="000803F3"/>
    <w:rsid w:val="0008090B"/>
    <w:rsid w:val="000809E4"/>
    <w:rsid w:val="00083435"/>
    <w:rsid w:val="000835A7"/>
    <w:rsid w:val="00084033"/>
    <w:rsid w:val="00084B4D"/>
    <w:rsid w:val="0008618B"/>
    <w:rsid w:val="000877A2"/>
    <w:rsid w:val="00090B33"/>
    <w:rsid w:val="00092525"/>
    <w:rsid w:val="0009287A"/>
    <w:rsid w:val="00093791"/>
    <w:rsid w:val="000940BD"/>
    <w:rsid w:val="00094B18"/>
    <w:rsid w:val="000951B9"/>
    <w:rsid w:val="000960A6"/>
    <w:rsid w:val="00096D42"/>
    <w:rsid w:val="00096F32"/>
    <w:rsid w:val="00097556"/>
    <w:rsid w:val="0009786C"/>
    <w:rsid w:val="000A00EE"/>
    <w:rsid w:val="000A0671"/>
    <w:rsid w:val="000A08DA"/>
    <w:rsid w:val="000A0CB7"/>
    <w:rsid w:val="000A0D20"/>
    <w:rsid w:val="000A0DE1"/>
    <w:rsid w:val="000A1849"/>
    <w:rsid w:val="000A185E"/>
    <w:rsid w:val="000A1D94"/>
    <w:rsid w:val="000A23E1"/>
    <w:rsid w:val="000A443D"/>
    <w:rsid w:val="000A4C42"/>
    <w:rsid w:val="000A52A8"/>
    <w:rsid w:val="000A6BB2"/>
    <w:rsid w:val="000A7AC4"/>
    <w:rsid w:val="000B064C"/>
    <w:rsid w:val="000B0959"/>
    <w:rsid w:val="000B0D97"/>
    <w:rsid w:val="000B0E65"/>
    <w:rsid w:val="000B0F4A"/>
    <w:rsid w:val="000B1386"/>
    <w:rsid w:val="000B1F66"/>
    <w:rsid w:val="000B2A5D"/>
    <w:rsid w:val="000B2C84"/>
    <w:rsid w:val="000B36F2"/>
    <w:rsid w:val="000B3F45"/>
    <w:rsid w:val="000B482A"/>
    <w:rsid w:val="000B4AE0"/>
    <w:rsid w:val="000B5758"/>
    <w:rsid w:val="000B59F9"/>
    <w:rsid w:val="000B64FD"/>
    <w:rsid w:val="000B6C48"/>
    <w:rsid w:val="000B6E2D"/>
    <w:rsid w:val="000B7493"/>
    <w:rsid w:val="000B791D"/>
    <w:rsid w:val="000C021A"/>
    <w:rsid w:val="000C02D6"/>
    <w:rsid w:val="000C1ECB"/>
    <w:rsid w:val="000C26A8"/>
    <w:rsid w:val="000C2781"/>
    <w:rsid w:val="000C2CAB"/>
    <w:rsid w:val="000C2CD8"/>
    <w:rsid w:val="000C4539"/>
    <w:rsid w:val="000C50DF"/>
    <w:rsid w:val="000C5295"/>
    <w:rsid w:val="000C52CF"/>
    <w:rsid w:val="000C53E4"/>
    <w:rsid w:val="000C6747"/>
    <w:rsid w:val="000C76BD"/>
    <w:rsid w:val="000D05EA"/>
    <w:rsid w:val="000D20F4"/>
    <w:rsid w:val="000D22A7"/>
    <w:rsid w:val="000D29AD"/>
    <w:rsid w:val="000D3C37"/>
    <w:rsid w:val="000D53CA"/>
    <w:rsid w:val="000D5A2C"/>
    <w:rsid w:val="000D5AC5"/>
    <w:rsid w:val="000D623D"/>
    <w:rsid w:val="000D62D1"/>
    <w:rsid w:val="000D63C9"/>
    <w:rsid w:val="000D665E"/>
    <w:rsid w:val="000D69D8"/>
    <w:rsid w:val="000D6C55"/>
    <w:rsid w:val="000D775C"/>
    <w:rsid w:val="000E0A55"/>
    <w:rsid w:val="000E1423"/>
    <w:rsid w:val="000E244E"/>
    <w:rsid w:val="000E58AC"/>
    <w:rsid w:val="000E7073"/>
    <w:rsid w:val="000F08DB"/>
    <w:rsid w:val="000F2651"/>
    <w:rsid w:val="000F328A"/>
    <w:rsid w:val="000F3393"/>
    <w:rsid w:val="000F50E1"/>
    <w:rsid w:val="000F5250"/>
    <w:rsid w:val="000F52EB"/>
    <w:rsid w:val="000F57BC"/>
    <w:rsid w:val="000F5854"/>
    <w:rsid w:val="000F58A3"/>
    <w:rsid w:val="000F638A"/>
    <w:rsid w:val="000F64E2"/>
    <w:rsid w:val="000F6A64"/>
    <w:rsid w:val="000F6EE4"/>
    <w:rsid w:val="000F6F3D"/>
    <w:rsid w:val="000F7349"/>
    <w:rsid w:val="000F7A6C"/>
    <w:rsid w:val="00100102"/>
    <w:rsid w:val="00100EA8"/>
    <w:rsid w:val="00100F9F"/>
    <w:rsid w:val="0010243B"/>
    <w:rsid w:val="0010342E"/>
    <w:rsid w:val="001047AC"/>
    <w:rsid w:val="00104BEC"/>
    <w:rsid w:val="0010577F"/>
    <w:rsid w:val="001059A9"/>
    <w:rsid w:val="00105AF9"/>
    <w:rsid w:val="00105B0C"/>
    <w:rsid w:val="00106115"/>
    <w:rsid w:val="001064CA"/>
    <w:rsid w:val="00106BA9"/>
    <w:rsid w:val="001073E5"/>
    <w:rsid w:val="00112045"/>
    <w:rsid w:val="001127AD"/>
    <w:rsid w:val="0011386B"/>
    <w:rsid w:val="0011654C"/>
    <w:rsid w:val="00116AC5"/>
    <w:rsid w:val="00116C79"/>
    <w:rsid w:val="00120558"/>
    <w:rsid w:val="001208AB"/>
    <w:rsid w:val="00121273"/>
    <w:rsid w:val="00121FF1"/>
    <w:rsid w:val="00122E61"/>
    <w:rsid w:val="00123605"/>
    <w:rsid w:val="00123891"/>
    <w:rsid w:val="00123B09"/>
    <w:rsid w:val="0012405C"/>
    <w:rsid w:val="0012417E"/>
    <w:rsid w:val="00124557"/>
    <w:rsid w:val="0012545C"/>
    <w:rsid w:val="00125659"/>
    <w:rsid w:val="001267C1"/>
    <w:rsid w:val="00127979"/>
    <w:rsid w:val="00127DD2"/>
    <w:rsid w:val="00131605"/>
    <w:rsid w:val="00132953"/>
    <w:rsid w:val="00132B01"/>
    <w:rsid w:val="00132F8A"/>
    <w:rsid w:val="0013386F"/>
    <w:rsid w:val="001348F6"/>
    <w:rsid w:val="00134E3A"/>
    <w:rsid w:val="00134E6A"/>
    <w:rsid w:val="00134FF3"/>
    <w:rsid w:val="00135F9E"/>
    <w:rsid w:val="0013759E"/>
    <w:rsid w:val="00137676"/>
    <w:rsid w:val="00137A5F"/>
    <w:rsid w:val="001413C5"/>
    <w:rsid w:val="001416E3"/>
    <w:rsid w:val="00141816"/>
    <w:rsid w:val="001420E5"/>
    <w:rsid w:val="00142611"/>
    <w:rsid w:val="00143137"/>
    <w:rsid w:val="00143317"/>
    <w:rsid w:val="00143A68"/>
    <w:rsid w:val="001440C1"/>
    <w:rsid w:val="001456F3"/>
    <w:rsid w:val="00146B53"/>
    <w:rsid w:val="001472CA"/>
    <w:rsid w:val="00147457"/>
    <w:rsid w:val="00147773"/>
    <w:rsid w:val="00147AC1"/>
    <w:rsid w:val="00150A23"/>
    <w:rsid w:val="00150B78"/>
    <w:rsid w:val="001514EE"/>
    <w:rsid w:val="00151BFF"/>
    <w:rsid w:val="00153920"/>
    <w:rsid w:val="00154403"/>
    <w:rsid w:val="00154E9A"/>
    <w:rsid w:val="00155807"/>
    <w:rsid w:val="001562BC"/>
    <w:rsid w:val="001570E3"/>
    <w:rsid w:val="00157A0A"/>
    <w:rsid w:val="00157B31"/>
    <w:rsid w:val="00160DDC"/>
    <w:rsid w:val="00161651"/>
    <w:rsid w:val="00164D3C"/>
    <w:rsid w:val="0016534E"/>
    <w:rsid w:val="001657FD"/>
    <w:rsid w:val="00165C39"/>
    <w:rsid w:val="0016635D"/>
    <w:rsid w:val="00166B6E"/>
    <w:rsid w:val="00167128"/>
    <w:rsid w:val="001679B0"/>
    <w:rsid w:val="00167BD8"/>
    <w:rsid w:val="00171426"/>
    <w:rsid w:val="00172DB7"/>
    <w:rsid w:val="00173688"/>
    <w:rsid w:val="00174093"/>
    <w:rsid w:val="001744D7"/>
    <w:rsid w:val="001744F7"/>
    <w:rsid w:val="001753EE"/>
    <w:rsid w:val="00175653"/>
    <w:rsid w:val="00176B8E"/>
    <w:rsid w:val="001815E1"/>
    <w:rsid w:val="001816FD"/>
    <w:rsid w:val="00181A4B"/>
    <w:rsid w:val="00181BFE"/>
    <w:rsid w:val="0018260E"/>
    <w:rsid w:val="00183A89"/>
    <w:rsid w:val="00184676"/>
    <w:rsid w:val="0018467D"/>
    <w:rsid w:val="0018691F"/>
    <w:rsid w:val="00186B6C"/>
    <w:rsid w:val="00186BB8"/>
    <w:rsid w:val="00186F5D"/>
    <w:rsid w:val="001876E3"/>
    <w:rsid w:val="00190033"/>
    <w:rsid w:val="001902ED"/>
    <w:rsid w:val="00191477"/>
    <w:rsid w:val="00191BF0"/>
    <w:rsid w:val="001923E5"/>
    <w:rsid w:val="00192E4F"/>
    <w:rsid w:val="00192F45"/>
    <w:rsid w:val="001930AB"/>
    <w:rsid w:val="00195750"/>
    <w:rsid w:val="0019665E"/>
    <w:rsid w:val="00196DE2"/>
    <w:rsid w:val="001973E4"/>
    <w:rsid w:val="001A01D0"/>
    <w:rsid w:val="001A090D"/>
    <w:rsid w:val="001A2B8F"/>
    <w:rsid w:val="001A4E12"/>
    <w:rsid w:val="001A4ED7"/>
    <w:rsid w:val="001A508B"/>
    <w:rsid w:val="001A574A"/>
    <w:rsid w:val="001A5DC4"/>
    <w:rsid w:val="001A6B35"/>
    <w:rsid w:val="001A7363"/>
    <w:rsid w:val="001B0324"/>
    <w:rsid w:val="001B1053"/>
    <w:rsid w:val="001B2FF5"/>
    <w:rsid w:val="001B5233"/>
    <w:rsid w:val="001B5EEE"/>
    <w:rsid w:val="001B71BC"/>
    <w:rsid w:val="001B77DE"/>
    <w:rsid w:val="001B7A89"/>
    <w:rsid w:val="001C03AF"/>
    <w:rsid w:val="001C1152"/>
    <w:rsid w:val="001C1420"/>
    <w:rsid w:val="001C176E"/>
    <w:rsid w:val="001C1BBB"/>
    <w:rsid w:val="001C1BDD"/>
    <w:rsid w:val="001C1EAD"/>
    <w:rsid w:val="001C31CF"/>
    <w:rsid w:val="001C4A91"/>
    <w:rsid w:val="001C5FA0"/>
    <w:rsid w:val="001C67F0"/>
    <w:rsid w:val="001C6963"/>
    <w:rsid w:val="001C788D"/>
    <w:rsid w:val="001D0280"/>
    <w:rsid w:val="001D1012"/>
    <w:rsid w:val="001D11A5"/>
    <w:rsid w:val="001D1D55"/>
    <w:rsid w:val="001D1F1F"/>
    <w:rsid w:val="001D48DB"/>
    <w:rsid w:val="001D52C2"/>
    <w:rsid w:val="001D60D4"/>
    <w:rsid w:val="001D634F"/>
    <w:rsid w:val="001D6913"/>
    <w:rsid w:val="001D76EA"/>
    <w:rsid w:val="001E0226"/>
    <w:rsid w:val="001E0373"/>
    <w:rsid w:val="001E05E2"/>
    <w:rsid w:val="001E05F1"/>
    <w:rsid w:val="001E15B7"/>
    <w:rsid w:val="001E23E0"/>
    <w:rsid w:val="001E24FC"/>
    <w:rsid w:val="001E3288"/>
    <w:rsid w:val="001E3808"/>
    <w:rsid w:val="001E4E3C"/>
    <w:rsid w:val="001E61AF"/>
    <w:rsid w:val="001E6DF6"/>
    <w:rsid w:val="001E75B1"/>
    <w:rsid w:val="001E76D0"/>
    <w:rsid w:val="001E7CC7"/>
    <w:rsid w:val="001F011E"/>
    <w:rsid w:val="001F03DC"/>
    <w:rsid w:val="001F0C98"/>
    <w:rsid w:val="001F0FD4"/>
    <w:rsid w:val="001F1C80"/>
    <w:rsid w:val="001F1FA8"/>
    <w:rsid w:val="001F220C"/>
    <w:rsid w:val="001F4E90"/>
    <w:rsid w:val="001F5F69"/>
    <w:rsid w:val="001F7065"/>
    <w:rsid w:val="001F71DB"/>
    <w:rsid w:val="0020010A"/>
    <w:rsid w:val="00200499"/>
    <w:rsid w:val="00200B1A"/>
    <w:rsid w:val="00201D71"/>
    <w:rsid w:val="00202892"/>
    <w:rsid w:val="00203695"/>
    <w:rsid w:val="002042EA"/>
    <w:rsid w:val="00204549"/>
    <w:rsid w:val="00204C18"/>
    <w:rsid w:val="00204F0F"/>
    <w:rsid w:val="00205683"/>
    <w:rsid w:val="002068D7"/>
    <w:rsid w:val="00206D1B"/>
    <w:rsid w:val="002100C3"/>
    <w:rsid w:val="00210117"/>
    <w:rsid w:val="0021080B"/>
    <w:rsid w:val="00211012"/>
    <w:rsid w:val="00213178"/>
    <w:rsid w:val="00213BFD"/>
    <w:rsid w:val="00214D85"/>
    <w:rsid w:val="002150E9"/>
    <w:rsid w:val="00215262"/>
    <w:rsid w:val="002161C7"/>
    <w:rsid w:val="00216367"/>
    <w:rsid w:val="002207CB"/>
    <w:rsid w:val="00220A6E"/>
    <w:rsid w:val="00221332"/>
    <w:rsid w:val="0022185C"/>
    <w:rsid w:val="002235D0"/>
    <w:rsid w:val="00223A68"/>
    <w:rsid w:val="00224379"/>
    <w:rsid w:val="00224A4E"/>
    <w:rsid w:val="0022515D"/>
    <w:rsid w:val="00225895"/>
    <w:rsid w:val="00225DA8"/>
    <w:rsid w:val="00226090"/>
    <w:rsid w:val="00226B5B"/>
    <w:rsid w:val="00227732"/>
    <w:rsid w:val="00230443"/>
    <w:rsid w:val="00231EDB"/>
    <w:rsid w:val="00231F8D"/>
    <w:rsid w:val="00233D9F"/>
    <w:rsid w:val="0023422D"/>
    <w:rsid w:val="00234CA1"/>
    <w:rsid w:val="00235556"/>
    <w:rsid w:val="00235AA6"/>
    <w:rsid w:val="00237D75"/>
    <w:rsid w:val="00240CC0"/>
    <w:rsid w:val="002410B6"/>
    <w:rsid w:val="00241FC5"/>
    <w:rsid w:val="0024284B"/>
    <w:rsid w:val="00243266"/>
    <w:rsid w:val="00243DA5"/>
    <w:rsid w:val="00244CD0"/>
    <w:rsid w:val="00245527"/>
    <w:rsid w:val="00245673"/>
    <w:rsid w:val="00246211"/>
    <w:rsid w:val="00246C05"/>
    <w:rsid w:val="002505C7"/>
    <w:rsid w:val="00250770"/>
    <w:rsid w:val="00250E2C"/>
    <w:rsid w:val="00251781"/>
    <w:rsid w:val="00251AF9"/>
    <w:rsid w:val="0025358F"/>
    <w:rsid w:val="00254318"/>
    <w:rsid w:val="00254FD7"/>
    <w:rsid w:val="0025634F"/>
    <w:rsid w:val="002566CB"/>
    <w:rsid w:val="002572F8"/>
    <w:rsid w:val="0025770A"/>
    <w:rsid w:val="00260AFB"/>
    <w:rsid w:val="00260D7F"/>
    <w:rsid w:val="00262F0F"/>
    <w:rsid w:val="00263CC1"/>
    <w:rsid w:val="002640D8"/>
    <w:rsid w:val="00264D97"/>
    <w:rsid w:val="00264DAE"/>
    <w:rsid w:val="00265C5D"/>
    <w:rsid w:val="00265F78"/>
    <w:rsid w:val="00267152"/>
    <w:rsid w:val="00270078"/>
    <w:rsid w:val="00270497"/>
    <w:rsid w:val="00270A6C"/>
    <w:rsid w:val="00271A16"/>
    <w:rsid w:val="0027288E"/>
    <w:rsid w:val="0027305C"/>
    <w:rsid w:val="00274180"/>
    <w:rsid w:val="002768A4"/>
    <w:rsid w:val="002768E4"/>
    <w:rsid w:val="00280825"/>
    <w:rsid w:val="0028196E"/>
    <w:rsid w:val="00281EFA"/>
    <w:rsid w:val="00282168"/>
    <w:rsid w:val="00282DCD"/>
    <w:rsid w:val="00285AB9"/>
    <w:rsid w:val="00290D9E"/>
    <w:rsid w:val="00291782"/>
    <w:rsid w:val="0029221C"/>
    <w:rsid w:val="00292625"/>
    <w:rsid w:val="002928D4"/>
    <w:rsid w:val="002929C9"/>
    <w:rsid w:val="00292BA2"/>
    <w:rsid w:val="002933B5"/>
    <w:rsid w:val="0029361D"/>
    <w:rsid w:val="00293CD1"/>
    <w:rsid w:val="00294082"/>
    <w:rsid w:val="0029474A"/>
    <w:rsid w:val="00294B2E"/>
    <w:rsid w:val="00294FE3"/>
    <w:rsid w:val="00295468"/>
    <w:rsid w:val="002963AC"/>
    <w:rsid w:val="0029665A"/>
    <w:rsid w:val="00296FFF"/>
    <w:rsid w:val="00297512"/>
    <w:rsid w:val="002A0694"/>
    <w:rsid w:val="002A0BFB"/>
    <w:rsid w:val="002A3D93"/>
    <w:rsid w:val="002A5416"/>
    <w:rsid w:val="002A59BF"/>
    <w:rsid w:val="002A6C19"/>
    <w:rsid w:val="002B1ECA"/>
    <w:rsid w:val="002B2DC3"/>
    <w:rsid w:val="002B3197"/>
    <w:rsid w:val="002B45BC"/>
    <w:rsid w:val="002B6476"/>
    <w:rsid w:val="002B6949"/>
    <w:rsid w:val="002B69D2"/>
    <w:rsid w:val="002B7FA7"/>
    <w:rsid w:val="002C05B7"/>
    <w:rsid w:val="002C0616"/>
    <w:rsid w:val="002C07A9"/>
    <w:rsid w:val="002C17C4"/>
    <w:rsid w:val="002C1AAF"/>
    <w:rsid w:val="002C31A4"/>
    <w:rsid w:val="002C32E6"/>
    <w:rsid w:val="002C4638"/>
    <w:rsid w:val="002C4CD4"/>
    <w:rsid w:val="002C4EA6"/>
    <w:rsid w:val="002C51C0"/>
    <w:rsid w:val="002C5245"/>
    <w:rsid w:val="002C659A"/>
    <w:rsid w:val="002C6D46"/>
    <w:rsid w:val="002C71BE"/>
    <w:rsid w:val="002C7916"/>
    <w:rsid w:val="002D0486"/>
    <w:rsid w:val="002D149A"/>
    <w:rsid w:val="002D1B76"/>
    <w:rsid w:val="002D1E2F"/>
    <w:rsid w:val="002D3C8C"/>
    <w:rsid w:val="002D4F45"/>
    <w:rsid w:val="002D4F6C"/>
    <w:rsid w:val="002D5D74"/>
    <w:rsid w:val="002D5DB8"/>
    <w:rsid w:val="002D604D"/>
    <w:rsid w:val="002D6805"/>
    <w:rsid w:val="002D7CCA"/>
    <w:rsid w:val="002E15C1"/>
    <w:rsid w:val="002E180D"/>
    <w:rsid w:val="002E1880"/>
    <w:rsid w:val="002E1C83"/>
    <w:rsid w:val="002E28E7"/>
    <w:rsid w:val="002E3056"/>
    <w:rsid w:val="002E6EC6"/>
    <w:rsid w:val="002E7487"/>
    <w:rsid w:val="002E7A22"/>
    <w:rsid w:val="002E7CBB"/>
    <w:rsid w:val="002F013D"/>
    <w:rsid w:val="002F0985"/>
    <w:rsid w:val="002F1C67"/>
    <w:rsid w:val="002F20E5"/>
    <w:rsid w:val="002F305E"/>
    <w:rsid w:val="002F4653"/>
    <w:rsid w:val="002F47A5"/>
    <w:rsid w:val="002F4F44"/>
    <w:rsid w:val="002F5436"/>
    <w:rsid w:val="002F5B6B"/>
    <w:rsid w:val="002F5C91"/>
    <w:rsid w:val="002F65C3"/>
    <w:rsid w:val="002F6C28"/>
    <w:rsid w:val="002F717F"/>
    <w:rsid w:val="003011A1"/>
    <w:rsid w:val="00301835"/>
    <w:rsid w:val="00301F6E"/>
    <w:rsid w:val="00303481"/>
    <w:rsid w:val="0030386D"/>
    <w:rsid w:val="003041FD"/>
    <w:rsid w:val="00305368"/>
    <w:rsid w:val="00305414"/>
    <w:rsid w:val="00305AD8"/>
    <w:rsid w:val="00305F9C"/>
    <w:rsid w:val="0030755D"/>
    <w:rsid w:val="003077D7"/>
    <w:rsid w:val="00310F98"/>
    <w:rsid w:val="00311D74"/>
    <w:rsid w:val="00312BA9"/>
    <w:rsid w:val="0031323F"/>
    <w:rsid w:val="00315754"/>
    <w:rsid w:val="00315A36"/>
    <w:rsid w:val="00315D5C"/>
    <w:rsid w:val="00317083"/>
    <w:rsid w:val="00317B65"/>
    <w:rsid w:val="00317DD0"/>
    <w:rsid w:val="00320527"/>
    <w:rsid w:val="00320D9B"/>
    <w:rsid w:val="00320ED7"/>
    <w:rsid w:val="00321FB5"/>
    <w:rsid w:val="003241BC"/>
    <w:rsid w:val="00325422"/>
    <w:rsid w:val="0033091A"/>
    <w:rsid w:val="0033147B"/>
    <w:rsid w:val="003318EF"/>
    <w:rsid w:val="00331DF5"/>
    <w:rsid w:val="00331E14"/>
    <w:rsid w:val="00332AED"/>
    <w:rsid w:val="00333102"/>
    <w:rsid w:val="003337E4"/>
    <w:rsid w:val="00336178"/>
    <w:rsid w:val="003367B9"/>
    <w:rsid w:val="00336858"/>
    <w:rsid w:val="00336F61"/>
    <w:rsid w:val="00340450"/>
    <w:rsid w:val="00342E1D"/>
    <w:rsid w:val="00343624"/>
    <w:rsid w:val="00343D95"/>
    <w:rsid w:val="00343E2F"/>
    <w:rsid w:val="00344085"/>
    <w:rsid w:val="00345636"/>
    <w:rsid w:val="00346E2D"/>
    <w:rsid w:val="00352753"/>
    <w:rsid w:val="003528E7"/>
    <w:rsid w:val="00352A88"/>
    <w:rsid w:val="0035330B"/>
    <w:rsid w:val="003535B0"/>
    <w:rsid w:val="00353F5A"/>
    <w:rsid w:val="0035411E"/>
    <w:rsid w:val="00354B1D"/>
    <w:rsid w:val="0035691C"/>
    <w:rsid w:val="00356E01"/>
    <w:rsid w:val="003577A5"/>
    <w:rsid w:val="00357ADD"/>
    <w:rsid w:val="00360A0E"/>
    <w:rsid w:val="00360CD3"/>
    <w:rsid w:val="0036118F"/>
    <w:rsid w:val="003617E4"/>
    <w:rsid w:val="003623FE"/>
    <w:rsid w:val="00363463"/>
    <w:rsid w:val="00363511"/>
    <w:rsid w:val="00363540"/>
    <w:rsid w:val="00363628"/>
    <w:rsid w:val="003646FE"/>
    <w:rsid w:val="00364871"/>
    <w:rsid w:val="00365066"/>
    <w:rsid w:val="003661AA"/>
    <w:rsid w:val="003661E8"/>
    <w:rsid w:val="003666D4"/>
    <w:rsid w:val="00367062"/>
    <w:rsid w:val="003671B5"/>
    <w:rsid w:val="003673A6"/>
    <w:rsid w:val="003674BB"/>
    <w:rsid w:val="00367996"/>
    <w:rsid w:val="00371E1E"/>
    <w:rsid w:val="0037237C"/>
    <w:rsid w:val="00373A92"/>
    <w:rsid w:val="0037611B"/>
    <w:rsid w:val="00376743"/>
    <w:rsid w:val="003768ED"/>
    <w:rsid w:val="00376F8F"/>
    <w:rsid w:val="00380CE8"/>
    <w:rsid w:val="0038103C"/>
    <w:rsid w:val="003810BE"/>
    <w:rsid w:val="00381E37"/>
    <w:rsid w:val="003823F7"/>
    <w:rsid w:val="00382611"/>
    <w:rsid w:val="00382AA9"/>
    <w:rsid w:val="00384B7C"/>
    <w:rsid w:val="003863BD"/>
    <w:rsid w:val="00386999"/>
    <w:rsid w:val="00387DE4"/>
    <w:rsid w:val="003901C2"/>
    <w:rsid w:val="0039111F"/>
    <w:rsid w:val="003915B0"/>
    <w:rsid w:val="00392202"/>
    <w:rsid w:val="00392375"/>
    <w:rsid w:val="00392394"/>
    <w:rsid w:val="0039423C"/>
    <w:rsid w:val="00394BA5"/>
    <w:rsid w:val="00394EB9"/>
    <w:rsid w:val="00395C00"/>
    <w:rsid w:val="00396AB4"/>
    <w:rsid w:val="00396EE7"/>
    <w:rsid w:val="003977A7"/>
    <w:rsid w:val="00397F89"/>
    <w:rsid w:val="003A0A29"/>
    <w:rsid w:val="003A0FC0"/>
    <w:rsid w:val="003A1451"/>
    <w:rsid w:val="003A1A9D"/>
    <w:rsid w:val="003A1BE1"/>
    <w:rsid w:val="003A1EB0"/>
    <w:rsid w:val="003A2891"/>
    <w:rsid w:val="003A3980"/>
    <w:rsid w:val="003A398A"/>
    <w:rsid w:val="003A427A"/>
    <w:rsid w:val="003A4EC7"/>
    <w:rsid w:val="003A502D"/>
    <w:rsid w:val="003A597A"/>
    <w:rsid w:val="003A5F21"/>
    <w:rsid w:val="003B02FD"/>
    <w:rsid w:val="003B0B49"/>
    <w:rsid w:val="003B0FB2"/>
    <w:rsid w:val="003B1376"/>
    <w:rsid w:val="003B1C3C"/>
    <w:rsid w:val="003B1D89"/>
    <w:rsid w:val="003B1DAC"/>
    <w:rsid w:val="003B2DA9"/>
    <w:rsid w:val="003B4044"/>
    <w:rsid w:val="003B417A"/>
    <w:rsid w:val="003B511D"/>
    <w:rsid w:val="003B5BEA"/>
    <w:rsid w:val="003B5D76"/>
    <w:rsid w:val="003B652A"/>
    <w:rsid w:val="003B6AEB"/>
    <w:rsid w:val="003B6B29"/>
    <w:rsid w:val="003B7549"/>
    <w:rsid w:val="003B7968"/>
    <w:rsid w:val="003B7A39"/>
    <w:rsid w:val="003B7E50"/>
    <w:rsid w:val="003C0928"/>
    <w:rsid w:val="003C0CBA"/>
    <w:rsid w:val="003C1062"/>
    <w:rsid w:val="003C1682"/>
    <w:rsid w:val="003C16A4"/>
    <w:rsid w:val="003C290A"/>
    <w:rsid w:val="003C4192"/>
    <w:rsid w:val="003C4502"/>
    <w:rsid w:val="003C5888"/>
    <w:rsid w:val="003C58F9"/>
    <w:rsid w:val="003C598E"/>
    <w:rsid w:val="003C7C7E"/>
    <w:rsid w:val="003D07E2"/>
    <w:rsid w:val="003D0900"/>
    <w:rsid w:val="003D0E4D"/>
    <w:rsid w:val="003D12D6"/>
    <w:rsid w:val="003D1B53"/>
    <w:rsid w:val="003D1C40"/>
    <w:rsid w:val="003D22FC"/>
    <w:rsid w:val="003D3443"/>
    <w:rsid w:val="003D3705"/>
    <w:rsid w:val="003D3A62"/>
    <w:rsid w:val="003D5321"/>
    <w:rsid w:val="003D5CCA"/>
    <w:rsid w:val="003D6401"/>
    <w:rsid w:val="003D6A65"/>
    <w:rsid w:val="003D6AA1"/>
    <w:rsid w:val="003D6B89"/>
    <w:rsid w:val="003D7212"/>
    <w:rsid w:val="003D7DF1"/>
    <w:rsid w:val="003E15A0"/>
    <w:rsid w:val="003E1869"/>
    <w:rsid w:val="003E2529"/>
    <w:rsid w:val="003E5665"/>
    <w:rsid w:val="003E5B30"/>
    <w:rsid w:val="003E63E0"/>
    <w:rsid w:val="003E79B9"/>
    <w:rsid w:val="003F111F"/>
    <w:rsid w:val="003F1768"/>
    <w:rsid w:val="003F2280"/>
    <w:rsid w:val="003F268E"/>
    <w:rsid w:val="003F26FC"/>
    <w:rsid w:val="003F28A7"/>
    <w:rsid w:val="003F4675"/>
    <w:rsid w:val="003F4CA2"/>
    <w:rsid w:val="003F5262"/>
    <w:rsid w:val="003F544D"/>
    <w:rsid w:val="003F656E"/>
    <w:rsid w:val="003F690D"/>
    <w:rsid w:val="003F736B"/>
    <w:rsid w:val="003F76C4"/>
    <w:rsid w:val="003F786C"/>
    <w:rsid w:val="003F7CF7"/>
    <w:rsid w:val="00400188"/>
    <w:rsid w:val="0040187E"/>
    <w:rsid w:val="00401F62"/>
    <w:rsid w:val="00402C17"/>
    <w:rsid w:val="00402F86"/>
    <w:rsid w:val="00403352"/>
    <w:rsid w:val="0040360F"/>
    <w:rsid w:val="004036BF"/>
    <w:rsid w:val="00403E76"/>
    <w:rsid w:val="004040E6"/>
    <w:rsid w:val="00404832"/>
    <w:rsid w:val="004054D0"/>
    <w:rsid w:val="004059CD"/>
    <w:rsid w:val="004059D6"/>
    <w:rsid w:val="00407E73"/>
    <w:rsid w:val="00407EEC"/>
    <w:rsid w:val="0041028C"/>
    <w:rsid w:val="0041093A"/>
    <w:rsid w:val="004117A9"/>
    <w:rsid w:val="00411833"/>
    <w:rsid w:val="00411C13"/>
    <w:rsid w:val="004121A0"/>
    <w:rsid w:val="0041449F"/>
    <w:rsid w:val="00414894"/>
    <w:rsid w:val="0041561B"/>
    <w:rsid w:val="004158D7"/>
    <w:rsid w:val="004204EC"/>
    <w:rsid w:val="00420E16"/>
    <w:rsid w:val="0042103F"/>
    <w:rsid w:val="00422174"/>
    <w:rsid w:val="00423B17"/>
    <w:rsid w:val="00423B19"/>
    <w:rsid w:val="00424002"/>
    <w:rsid w:val="0042506B"/>
    <w:rsid w:val="0042572A"/>
    <w:rsid w:val="00425BDF"/>
    <w:rsid w:val="00425D8C"/>
    <w:rsid w:val="00426AAE"/>
    <w:rsid w:val="00426F11"/>
    <w:rsid w:val="004275FC"/>
    <w:rsid w:val="00427BA9"/>
    <w:rsid w:val="004305C4"/>
    <w:rsid w:val="0043090C"/>
    <w:rsid w:val="004328A3"/>
    <w:rsid w:val="00433114"/>
    <w:rsid w:val="00433117"/>
    <w:rsid w:val="004339B4"/>
    <w:rsid w:val="00433F2A"/>
    <w:rsid w:val="00434F83"/>
    <w:rsid w:val="00435A74"/>
    <w:rsid w:val="004362A7"/>
    <w:rsid w:val="004366B7"/>
    <w:rsid w:val="00436AEA"/>
    <w:rsid w:val="00436D80"/>
    <w:rsid w:val="00436E75"/>
    <w:rsid w:val="00437581"/>
    <w:rsid w:val="00437692"/>
    <w:rsid w:val="00437A66"/>
    <w:rsid w:val="00437B83"/>
    <w:rsid w:val="00437CFB"/>
    <w:rsid w:val="00437E2B"/>
    <w:rsid w:val="00437FC3"/>
    <w:rsid w:val="00441033"/>
    <w:rsid w:val="004427D0"/>
    <w:rsid w:val="00442DEC"/>
    <w:rsid w:val="00443C17"/>
    <w:rsid w:val="004454A4"/>
    <w:rsid w:val="004458CA"/>
    <w:rsid w:val="0044646D"/>
    <w:rsid w:val="00446840"/>
    <w:rsid w:val="0045066F"/>
    <w:rsid w:val="00451214"/>
    <w:rsid w:val="00451282"/>
    <w:rsid w:val="004519EA"/>
    <w:rsid w:val="00451AE5"/>
    <w:rsid w:val="00452063"/>
    <w:rsid w:val="0045236C"/>
    <w:rsid w:val="004523CE"/>
    <w:rsid w:val="0045374B"/>
    <w:rsid w:val="00454ABD"/>
    <w:rsid w:val="00454DAE"/>
    <w:rsid w:val="004553D2"/>
    <w:rsid w:val="00455536"/>
    <w:rsid w:val="0045666E"/>
    <w:rsid w:val="00456C12"/>
    <w:rsid w:val="0045713B"/>
    <w:rsid w:val="00457982"/>
    <w:rsid w:val="0046010F"/>
    <w:rsid w:val="0046023A"/>
    <w:rsid w:val="00460C9F"/>
    <w:rsid w:val="00461602"/>
    <w:rsid w:val="00462170"/>
    <w:rsid w:val="00462993"/>
    <w:rsid w:val="004632B5"/>
    <w:rsid w:val="004636E4"/>
    <w:rsid w:val="00464445"/>
    <w:rsid w:val="00464EE2"/>
    <w:rsid w:val="004661F3"/>
    <w:rsid w:val="0046702C"/>
    <w:rsid w:val="004674DD"/>
    <w:rsid w:val="004676BD"/>
    <w:rsid w:val="00467D62"/>
    <w:rsid w:val="00470759"/>
    <w:rsid w:val="00470A73"/>
    <w:rsid w:val="00471142"/>
    <w:rsid w:val="0047211D"/>
    <w:rsid w:val="00472842"/>
    <w:rsid w:val="00472981"/>
    <w:rsid w:val="00472E8D"/>
    <w:rsid w:val="00473279"/>
    <w:rsid w:val="004741A1"/>
    <w:rsid w:val="0047618D"/>
    <w:rsid w:val="00476B8C"/>
    <w:rsid w:val="00476F75"/>
    <w:rsid w:val="004817AE"/>
    <w:rsid w:val="004822E5"/>
    <w:rsid w:val="0048259C"/>
    <w:rsid w:val="00482C58"/>
    <w:rsid w:val="0048377C"/>
    <w:rsid w:val="00483C76"/>
    <w:rsid w:val="00483D88"/>
    <w:rsid w:val="004845A6"/>
    <w:rsid w:val="004855DB"/>
    <w:rsid w:val="00485F18"/>
    <w:rsid w:val="00486389"/>
    <w:rsid w:val="00486B5D"/>
    <w:rsid w:val="00486C4A"/>
    <w:rsid w:val="00487AD5"/>
    <w:rsid w:val="00487BCD"/>
    <w:rsid w:val="00491964"/>
    <w:rsid w:val="00492BAC"/>
    <w:rsid w:val="00492F19"/>
    <w:rsid w:val="0049302F"/>
    <w:rsid w:val="004930AD"/>
    <w:rsid w:val="004931B0"/>
    <w:rsid w:val="00493273"/>
    <w:rsid w:val="00493E5C"/>
    <w:rsid w:val="00494039"/>
    <w:rsid w:val="0049435A"/>
    <w:rsid w:val="00496074"/>
    <w:rsid w:val="004963FB"/>
    <w:rsid w:val="004964E5"/>
    <w:rsid w:val="00496D89"/>
    <w:rsid w:val="004A1091"/>
    <w:rsid w:val="004A1EB6"/>
    <w:rsid w:val="004A202A"/>
    <w:rsid w:val="004A2909"/>
    <w:rsid w:val="004A2FB0"/>
    <w:rsid w:val="004A3AA3"/>
    <w:rsid w:val="004A417D"/>
    <w:rsid w:val="004A5383"/>
    <w:rsid w:val="004A543D"/>
    <w:rsid w:val="004A566D"/>
    <w:rsid w:val="004A5D6D"/>
    <w:rsid w:val="004B0252"/>
    <w:rsid w:val="004B0863"/>
    <w:rsid w:val="004B0DBE"/>
    <w:rsid w:val="004B1E6D"/>
    <w:rsid w:val="004B2B16"/>
    <w:rsid w:val="004B2E1E"/>
    <w:rsid w:val="004B4921"/>
    <w:rsid w:val="004B5102"/>
    <w:rsid w:val="004B53F5"/>
    <w:rsid w:val="004B559C"/>
    <w:rsid w:val="004B5B82"/>
    <w:rsid w:val="004C0000"/>
    <w:rsid w:val="004C16CF"/>
    <w:rsid w:val="004C29D5"/>
    <w:rsid w:val="004C2AEA"/>
    <w:rsid w:val="004C2B1B"/>
    <w:rsid w:val="004C2CB5"/>
    <w:rsid w:val="004C313D"/>
    <w:rsid w:val="004C347D"/>
    <w:rsid w:val="004C3FDA"/>
    <w:rsid w:val="004C4EE9"/>
    <w:rsid w:val="004C527A"/>
    <w:rsid w:val="004C6E2A"/>
    <w:rsid w:val="004C7727"/>
    <w:rsid w:val="004D17A7"/>
    <w:rsid w:val="004D1FC9"/>
    <w:rsid w:val="004D2AC2"/>
    <w:rsid w:val="004D37FD"/>
    <w:rsid w:val="004D3C91"/>
    <w:rsid w:val="004D3CDB"/>
    <w:rsid w:val="004D58B7"/>
    <w:rsid w:val="004D5963"/>
    <w:rsid w:val="004D611F"/>
    <w:rsid w:val="004D6978"/>
    <w:rsid w:val="004D7559"/>
    <w:rsid w:val="004D7835"/>
    <w:rsid w:val="004D7ED9"/>
    <w:rsid w:val="004E2434"/>
    <w:rsid w:val="004E2E5D"/>
    <w:rsid w:val="004E34CD"/>
    <w:rsid w:val="004E3B34"/>
    <w:rsid w:val="004E46DD"/>
    <w:rsid w:val="004E525F"/>
    <w:rsid w:val="004F0038"/>
    <w:rsid w:val="004F0159"/>
    <w:rsid w:val="004F1406"/>
    <w:rsid w:val="004F1556"/>
    <w:rsid w:val="004F19E5"/>
    <w:rsid w:val="004F1CB7"/>
    <w:rsid w:val="004F27D5"/>
    <w:rsid w:val="004F5053"/>
    <w:rsid w:val="004F521E"/>
    <w:rsid w:val="004F566D"/>
    <w:rsid w:val="004F5699"/>
    <w:rsid w:val="004F56AC"/>
    <w:rsid w:val="004F704B"/>
    <w:rsid w:val="004F7EA4"/>
    <w:rsid w:val="005003CB"/>
    <w:rsid w:val="005007A9"/>
    <w:rsid w:val="00503A32"/>
    <w:rsid w:val="00505014"/>
    <w:rsid w:val="00505042"/>
    <w:rsid w:val="005052EC"/>
    <w:rsid w:val="00505782"/>
    <w:rsid w:val="00505C36"/>
    <w:rsid w:val="00505F72"/>
    <w:rsid w:val="005060ED"/>
    <w:rsid w:val="00506BDB"/>
    <w:rsid w:val="005105C9"/>
    <w:rsid w:val="00511EA0"/>
    <w:rsid w:val="0051282D"/>
    <w:rsid w:val="0051395A"/>
    <w:rsid w:val="005145F3"/>
    <w:rsid w:val="00514FA2"/>
    <w:rsid w:val="00515477"/>
    <w:rsid w:val="00515C10"/>
    <w:rsid w:val="00515D2A"/>
    <w:rsid w:val="005161AA"/>
    <w:rsid w:val="005162AF"/>
    <w:rsid w:val="00517B16"/>
    <w:rsid w:val="00517F9F"/>
    <w:rsid w:val="00520799"/>
    <w:rsid w:val="00520878"/>
    <w:rsid w:val="0052179E"/>
    <w:rsid w:val="0052258F"/>
    <w:rsid w:val="00522841"/>
    <w:rsid w:val="00523571"/>
    <w:rsid w:val="0052393E"/>
    <w:rsid w:val="005242BF"/>
    <w:rsid w:val="00524483"/>
    <w:rsid w:val="00524A3C"/>
    <w:rsid w:val="00524DFA"/>
    <w:rsid w:val="00525500"/>
    <w:rsid w:val="00525CB2"/>
    <w:rsid w:val="00525FE2"/>
    <w:rsid w:val="00526402"/>
    <w:rsid w:val="005275A6"/>
    <w:rsid w:val="00530E75"/>
    <w:rsid w:val="0053122E"/>
    <w:rsid w:val="0053163D"/>
    <w:rsid w:val="00533202"/>
    <w:rsid w:val="005335F9"/>
    <w:rsid w:val="00533BD8"/>
    <w:rsid w:val="00535B0C"/>
    <w:rsid w:val="00535B57"/>
    <w:rsid w:val="00535C0E"/>
    <w:rsid w:val="00535C6D"/>
    <w:rsid w:val="00536705"/>
    <w:rsid w:val="0053725F"/>
    <w:rsid w:val="00540099"/>
    <w:rsid w:val="005409A5"/>
    <w:rsid w:val="005432BE"/>
    <w:rsid w:val="005433FC"/>
    <w:rsid w:val="005434E3"/>
    <w:rsid w:val="00543643"/>
    <w:rsid w:val="005441A4"/>
    <w:rsid w:val="00544E52"/>
    <w:rsid w:val="00544FFB"/>
    <w:rsid w:val="00545A72"/>
    <w:rsid w:val="00546409"/>
    <w:rsid w:val="0054674C"/>
    <w:rsid w:val="00550501"/>
    <w:rsid w:val="005506FC"/>
    <w:rsid w:val="00551FBF"/>
    <w:rsid w:val="00551FDF"/>
    <w:rsid w:val="005541C9"/>
    <w:rsid w:val="00554A18"/>
    <w:rsid w:val="005554CE"/>
    <w:rsid w:val="0055555B"/>
    <w:rsid w:val="005578CC"/>
    <w:rsid w:val="00560AF8"/>
    <w:rsid w:val="005619EA"/>
    <w:rsid w:val="00561FC5"/>
    <w:rsid w:val="005621D9"/>
    <w:rsid w:val="00563727"/>
    <w:rsid w:val="00564F35"/>
    <w:rsid w:val="0056605B"/>
    <w:rsid w:val="00566062"/>
    <w:rsid w:val="00566211"/>
    <w:rsid w:val="005664D0"/>
    <w:rsid w:val="00566593"/>
    <w:rsid w:val="0056794C"/>
    <w:rsid w:val="0057034F"/>
    <w:rsid w:val="005704B4"/>
    <w:rsid w:val="00570F6B"/>
    <w:rsid w:val="00571993"/>
    <w:rsid w:val="005719EA"/>
    <w:rsid w:val="00571B06"/>
    <w:rsid w:val="0057210E"/>
    <w:rsid w:val="005725CE"/>
    <w:rsid w:val="0057316B"/>
    <w:rsid w:val="0057345D"/>
    <w:rsid w:val="005743A3"/>
    <w:rsid w:val="00575417"/>
    <w:rsid w:val="00575524"/>
    <w:rsid w:val="0057581E"/>
    <w:rsid w:val="0057591C"/>
    <w:rsid w:val="005776D1"/>
    <w:rsid w:val="00577AF2"/>
    <w:rsid w:val="00577D72"/>
    <w:rsid w:val="005802BD"/>
    <w:rsid w:val="005807AE"/>
    <w:rsid w:val="005808FB"/>
    <w:rsid w:val="00581B33"/>
    <w:rsid w:val="005820B4"/>
    <w:rsid w:val="0058387E"/>
    <w:rsid w:val="00583DCF"/>
    <w:rsid w:val="005844F9"/>
    <w:rsid w:val="00584B60"/>
    <w:rsid w:val="00584FDF"/>
    <w:rsid w:val="005857FB"/>
    <w:rsid w:val="00585CED"/>
    <w:rsid w:val="00586AFD"/>
    <w:rsid w:val="00587C9B"/>
    <w:rsid w:val="005906D8"/>
    <w:rsid w:val="00590928"/>
    <w:rsid w:val="00590BBE"/>
    <w:rsid w:val="00592454"/>
    <w:rsid w:val="00593272"/>
    <w:rsid w:val="005932D2"/>
    <w:rsid w:val="00594D24"/>
    <w:rsid w:val="00595632"/>
    <w:rsid w:val="00595932"/>
    <w:rsid w:val="00596C74"/>
    <w:rsid w:val="005A1411"/>
    <w:rsid w:val="005A1DAB"/>
    <w:rsid w:val="005A24BE"/>
    <w:rsid w:val="005A2FFC"/>
    <w:rsid w:val="005A3481"/>
    <w:rsid w:val="005A3F32"/>
    <w:rsid w:val="005A3FE2"/>
    <w:rsid w:val="005A6792"/>
    <w:rsid w:val="005A7FB3"/>
    <w:rsid w:val="005B0023"/>
    <w:rsid w:val="005B0847"/>
    <w:rsid w:val="005B0CA1"/>
    <w:rsid w:val="005B1436"/>
    <w:rsid w:val="005B248B"/>
    <w:rsid w:val="005B2A46"/>
    <w:rsid w:val="005B35A9"/>
    <w:rsid w:val="005B4E68"/>
    <w:rsid w:val="005B523D"/>
    <w:rsid w:val="005B56D2"/>
    <w:rsid w:val="005B6305"/>
    <w:rsid w:val="005B7FF7"/>
    <w:rsid w:val="005C028A"/>
    <w:rsid w:val="005C0B36"/>
    <w:rsid w:val="005C1960"/>
    <w:rsid w:val="005C2385"/>
    <w:rsid w:val="005C239B"/>
    <w:rsid w:val="005C455E"/>
    <w:rsid w:val="005C4C46"/>
    <w:rsid w:val="005C5882"/>
    <w:rsid w:val="005C5B40"/>
    <w:rsid w:val="005C64E4"/>
    <w:rsid w:val="005C68FA"/>
    <w:rsid w:val="005C7465"/>
    <w:rsid w:val="005D00B5"/>
    <w:rsid w:val="005D03A9"/>
    <w:rsid w:val="005D0427"/>
    <w:rsid w:val="005D09E3"/>
    <w:rsid w:val="005D0D25"/>
    <w:rsid w:val="005D3268"/>
    <w:rsid w:val="005D3289"/>
    <w:rsid w:val="005D358D"/>
    <w:rsid w:val="005D392D"/>
    <w:rsid w:val="005D442F"/>
    <w:rsid w:val="005D494C"/>
    <w:rsid w:val="005D6D59"/>
    <w:rsid w:val="005D7108"/>
    <w:rsid w:val="005D7197"/>
    <w:rsid w:val="005D79E9"/>
    <w:rsid w:val="005E0ACB"/>
    <w:rsid w:val="005E2D01"/>
    <w:rsid w:val="005E2F56"/>
    <w:rsid w:val="005E40F2"/>
    <w:rsid w:val="005E585B"/>
    <w:rsid w:val="005E5AD0"/>
    <w:rsid w:val="005E5EF8"/>
    <w:rsid w:val="005E64C3"/>
    <w:rsid w:val="005E6753"/>
    <w:rsid w:val="005E6CDB"/>
    <w:rsid w:val="005E6EEF"/>
    <w:rsid w:val="005F0F78"/>
    <w:rsid w:val="005F129A"/>
    <w:rsid w:val="005F156D"/>
    <w:rsid w:val="005F1E69"/>
    <w:rsid w:val="005F20B1"/>
    <w:rsid w:val="005F3844"/>
    <w:rsid w:val="005F38E4"/>
    <w:rsid w:val="005F464B"/>
    <w:rsid w:val="005F4ACA"/>
    <w:rsid w:val="005F5AF1"/>
    <w:rsid w:val="005F6668"/>
    <w:rsid w:val="00600677"/>
    <w:rsid w:val="00600DA1"/>
    <w:rsid w:val="00601188"/>
    <w:rsid w:val="006024A8"/>
    <w:rsid w:val="00603691"/>
    <w:rsid w:val="00603D79"/>
    <w:rsid w:val="00605AC1"/>
    <w:rsid w:val="00606F49"/>
    <w:rsid w:val="00607121"/>
    <w:rsid w:val="00607AF2"/>
    <w:rsid w:val="0061014D"/>
    <w:rsid w:val="00610C16"/>
    <w:rsid w:val="00610EE4"/>
    <w:rsid w:val="00611236"/>
    <w:rsid w:val="00611B99"/>
    <w:rsid w:val="00611FF8"/>
    <w:rsid w:val="006120BE"/>
    <w:rsid w:val="006134CD"/>
    <w:rsid w:val="00614A26"/>
    <w:rsid w:val="00615489"/>
    <w:rsid w:val="006155E0"/>
    <w:rsid w:val="00615D4C"/>
    <w:rsid w:val="00615EB6"/>
    <w:rsid w:val="006172AA"/>
    <w:rsid w:val="00617E8E"/>
    <w:rsid w:val="006201DE"/>
    <w:rsid w:val="0062074E"/>
    <w:rsid w:val="00620B64"/>
    <w:rsid w:val="00621BB0"/>
    <w:rsid w:val="00621D23"/>
    <w:rsid w:val="0062203F"/>
    <w:rsid w:val="00622046"/>
    <w:rsid w:val="00622A40"/>
    <w:rsid w:val="006241B2"/>
    <w:rsid w:val="00624670"/>
    <w:rsid w:val="00625C00"/>
    <w:rsid w:val="00625F74"/>
    <w:rsid w:val="00626787"/>
    <w:rsid w:val="00626CA3"/>
    <w:rsid w:val="00627D91"/>
    <w:rsid w:val="00630122"/>
    <w:rsid w:val="00631C11"/>
    <w:rsid w:val="00632884"/>
    <w:rsid w:val="00632AA0"/>
    <w:rsid w:val="00632ECF"/>
    <w:rsid w:val="00633946"/>
    <w:rsid w:val="00635124"/>
    <w:rsid w:val="00635A15"/>
    <w:rsid w:val="00636A64"/>
    <w:rsid w:val="00636C20"/>
    <w:rsid w:val="006370B9"/>
    <w:rsid w:val="006404CD"/>
    <w:rsid w:val="00640657"/>
    <w:rsid w:val="00640E9F"/>
    <w:rsid w:val="00641054"/>
    <w:rsid w:val="0064160D"/>
    <w:rsid w:val="00641F94"/>
    <w:rsid w:val="0064229B"/>
    <w:rsid w:val="00643B90"/>
    <w:rsid w:val="00644166"/>
    <w:rsid w:val="006445B3"/>
    <w:rsid w:val="00644D12"/>
    <w:rsid w:val="0064511A"/>
    <w:rsid w:val="006452A1"/>
    <w:rsid w:val="006456FD"/>
    <w:rsid w:val="00652EC0"/>
    <w:rsid w:val="00654C6D"/>
    <w:rsid w:val="00655B71"/>
    <w:rsid w:val="00655FBC"/>
    <w:rsid w:val="0065623F"/>
    <w:rsid w:val="006562EF"/>
    <w:rsid w:val="006566EB"/>
    <w:rsid w:val="00656817"/>
    <w:rsid w:val="00657B67"/>
    <w:rsid w:val="006601C1"/>
    <w:rsid w:val="0066082A"/>
    <w:rsid w:val="00660F05"/>
    <w:rsid w:val="00661415"/>
    <w:rsid w:val="00661F12"/>
    <w:rsid w:val="00662BC5"/>
    <w:rsid w:val="00662E6A"/>
    <w:rsid w:val="00663418"/>
    <w:rsid w:val="006637FC"/>
    <w:rsid w:val="006639D3"/>
    <w:rsid w:val="006651F4"/>
    <w:rsid w:val="00665965"/>
    <w:rsid w:val="00665B4B"/>
    <w:rsid w:val="0066653D"/>
    <w:rsid w:val="00667F99"/>
    <w:rsid w:val="00670608"/>
    <w:rsid w:val="006709CA"/>
    <w:rsid w:val="00671A6D"/>
    <w:rsid w:val="00671DC7"/>
    <w:rsid w:val="00671F1A"/>
    <w:rsid w:val="00672A78"/>
    <w:rsid w:val="00672B19"/>
    <w:rsid w:val="00672ED7"/>
    <w:rsid w:val="00673B08"/>
    <w:rsid w:val="00674517"/>
    <w:rsid w:val="006746C3"/>
    <w:rsid w:val="00675417"/>
    <w:rsid w:val="006756C8"/>
    <w:rsid w:val="006806BA"/>
    <w:rsid w:val="00681176"/>
    <w:rsid w:val="006817A1"/>
    <w:rsid w:val="0068349F"/>
    <w:rsid w:val="006834DA"/>
    <w:rsid w:val="00684CA3"/>
    <w:rsid w:val="00684E52"/>
    <w:rsid w:val="00685498"/>
    <w:rsid w:val="006855F5"/>
    <w:rsid w:val="00686E56"/>
    <w:rsid w:val="00687C1B"/>
    <w:rsid w:val="00687E4F"/>
    <w:rsid w:val="0069143C"/>
    <w:rsid w:val="0069155E"/>
    <w:rsid w:val="00692586"/>
    <w:rsid w:val="00692B0C"/>
    <w:rsid w:val="00693532"/>
    <w:rsid w:val="00693C94"/>
    <w:rsid w:val="00694444"/>
    <w:rsid w:val="00694886"/>
    <w:rsid w:val="00694AB8"/>
    <w:rsid w:val="00696A42"/>
    <w:rsid w:val="00696AA6"/>
    <w:rsid w:val="006A0C6F"/>
    <w:rsid w:val="006A0CE5"/>
    <w:rsid w:val="006A0F8C"/>
    <w:rsid w:val="006A20EA"/>
    <w:rsid w:val="006A38E0"/>
    <w:rsid w:val="006A3FA1"/>
    <w:rsid w:val="006A44A3"/>
    <w:rsid w:val="006A4B68"/>
    <w:rsid w:val="006A569D"/>
    <w:rsid w:val="006A5FA1"/>
    <w:rsid w:val="006A640D"/>
    <w:rsid w:val="006B09A5"/>
    <w:rsid w:val="006B11A5"/>
    <w:rsid w:val="006B142E"/>
    <w:rsid w:val="006B45E3"/>
    <w:rsid w:val="006B4CB6"/>
    <w:rsid w:val="006B59D5"/>
    <w:rsid w:val="006B5D11"/>
    <w:rsid w:val="006B71BD"/>
    <w:rsid w:val="006C0D09"/>
    <w:rsid w:val="006C17C7"/>
    <w:rsid w:val="006C1861"/>
    <w:rsid w:val="006C21C3"/>
    <w:rsid w:val="006C39C1"/>
    <w:rsid w:val="006C3A99"/>
    <w:rsid w:val="006C5B2A"/>
    <w:rsid w:val="006C6746"/>
    <w:rsid w:val="006C6AE6"/>
    <w:rsid w:val="006C724D"/>
    <w:rsid w:val="006C727D"/>
    <w:rsid w:val="006C7504"/>
    <w:rsid w:val="006D0638"/>
    <w:rsid w:val="006D19B0"/>
    <w:rsid w:val="006D2CF6"/>
    <w:rsid w:val="006D2E3F"/>
    <w:rsid w:val="006D744D"/>
    <w:rsid w:val="006E01E5"/>
    <w:rsid w:val="006E044C"/>
    <w:rsid w:val="006E0C87"/>
    <w:rsid w:val="006E0CC9"/>
    <w:rsid w:val="006E1883"/>
    <w:rsid w:val="006E21C6"/>
    <w:rsid w:val="006E22E0"/>
    <w:rsid w:val="006E28F5"/>
    <w:rsid w:val="006E2A59"/>
    <w:rsid w:val="006E4181"/>
    <w:rsid w:val="006E5AE7"/>
    <w:rsid w:val="006E60C8"/>
    <w:rsid w:val="006E67D9"/>
    <w:rsid w:val="006F0A4C"/>
    <w:rsid w:val="006F3034"/>
    <w:rsid w:val="006F33E6"/>
    <w:rsid w:val="006F407A"/>
    <w:rsid w:val="006F436B"/>
    <w:rsid w:val="006F5990"/>
    <w:rsid w:val="006F65FC"/>
    <w:rsid w:val="006F6696"/>
    <w:rsid w:val="006F74B3"/>
    <w:rsid w:val="007006AB"/>
    <w:rsid w:val="0070139C"/>
    <w:rsid w:val="00702238"/>
    <w:rsid w:val="00702E6D"/>
    <w:rsid w:val="0070359E"/>
    <w:rsid w:val="00704852"/>
    <w:rsid w:val="00705BFF"/>
    <w:rsid w:val="00705C92"/>
    <w:rsid w:val="00706191"/>
    <w:rsid w:val="00706BE0"/>
    <w:rsid w:val="00707882"/>
    <w:rsid w:val="007105E7"/>
    <w:rsid w:val="00711384"/>
    <w:rsid w:val="007113C0"/>
    <w:rsid w:val="00711F77"/>
    <w:rsid w:val="00712A8B"/>
    <w:rsid w:val="00716545"/>
    <w:rsid w:val="00717A08"/>
    <w:rsid w:val="00717A56"/>
    <w:rsid w:val="00717BDD"/>
    <w:rsid w:val="00717DC8"/>
    <w:rsid w:val="007205F9"/>
    <w:rsid w:val="00720652"/>
    <w:rsid w:val="00720D73"/>
    <w:rsid w:val="00720F96"/>
    <w:rsid w:val="00721610"/>
    <w:rsid w:val="0072243A"/>
    <w:rsid w:val="00722909"/>
    <w:rsid w:val="00722C7E"/>
    <w:rsid w:val="00724CBF"/>
    <w:rsid w:val="007255A3"/>
    <w:rsid w:val="007255C6"/>
    <w:rsid w:val="007264CD"/>
    <w:rsid w:val="007269C1"/>
    <w:rsid w:val="00726CB7"/>
    <w:rsid w:val="0072740E"/>
    <w:rsid w:val="007310FD"/>
    <w:rsid w:val="00732335"/>
    <w:rsid w:val="00733C25"/>
    <w:rsid w:val="00734090"/>
    <w:rsid w:val="0073577B"/>
    <w:rsid w:val="007357F3"/>
    <w:rsid w:val="00735CBE"/>
    <w:rsid w:val="007365A5"/>
    <w:rsid w:val="007374A7"/>
    <w:rsid w:val="00737BC7"/>
    <w:rsid w:val="00740A09"/>
    <w:rsid w:val="00741013"/>
    <w:rsid w:val="00741514"/>
    <w:rsid w:val="007428F1"/>
    <w:rsid w:val="00742B6A"/>
    <w:rsid w:val="0074323A"/>
    <w:rsid w:val="00743B79"/>
    <w:rsid w:val="00746630"/>
    <w:rsid w:val="0074671A"/>
    <w:rsid w:val="00746CD5"/>
    <w:rsid w:val="00746FA4"/>
    <w:rsid w:val="007477DE"/>
    <w:rsid w:val="007502BB"/>
    <w:rsid w:val="0075078C"/>
    <w:rsid w:val="00750964"/>
    <w:rsid w:val="00751C09"/>
    <w:rsid w:val="00751F2D"/>
    <w:rsid w:val="007525C7"/>
    <w:rsid w:val="007528C4"/>
    <w:rsid w:val="0075327F"/>
    <w:rsid w:val="00753AEA"/>
    <w:rsid w:val="00754F01"/>
    <w:rsid w:val="00755A6D"/>
    <w:rsid w:val="00756249"/>
    <w:rsid w:val="00760175"/>
    <w:rsid w:val="00761694"/>
    <w:rsid w:val="00761CA8"/>
    <w:rsid w:val="007631D6"/>
    <w:rsid w:val="00763B9E"/>
    <w:rsid w:val="00764945"/>
    <w:rsid w:val="0076575A"/>
    <w:rsid w:val="00765999"/>
    <w:rsid w:val="007671DA"/>
    <w:rsid w:val="00767D45"/>
    <w:rsid w:val="00770B4C"/>
    <w:rsid w:val="00770D18"/>
    <w:rsid w:val="007715B2"/>
    <w:rsid w:val="00772CA2"/>
    <w:rsid w:val="00773794"/>
    <w:rsid w:val="00773918"/>
    <w:rsid w:val="007744B1"/>
    <w:rsid w:val="00774BAE"/>
    <w:rsid w:val="00774F0D"/>
    <w:rsid w:val="007758E0"/>
    <w:rsid w:val="00776EC6"/>
    <w:rsid w:val="00777A20"/>
    <w:rsid w:val="007803FF"/>
    <w:rsid w:val="007807AE"/>
    <w:rsid w:val="00781180"/>
    <w:rsid w:val="00781FDE"/>
    <w:rsid w:val="0078231D"/>
    <w:rsid w:val="007826EB"/>
    <w:rsid w:val="00783E2B"/>
    <w:rsid w:val="007850BA"/>
    <w:rsid w:val="00785279"/>
    <w:rsid w:val="007853A6"/>
    <w:rsid w:val="00785CF5"/>
    <w:rsid w:val="00786468"/>
    <w:rsid w:val="00786689"/>
    <w:rsid w:val="007868D0"/>
    <w:rsid w:val="00786B88"/>
    <w:rsid w:val="007906C9"/>
    <w:rsid w:val="00791186"/>
    <w:rsid w:val="00791B1F"/>
    <w:rsid w:val="0079279F"/>
    <w:rsid w:val="00792A69"/>
    <w:rsid w:val="00794201"/>
    <w:rsid w:val="00794587"/>
    <w:rsid w:val="00794E30"/>
    <w:rsid w:val="00794E7E"/>
    <w:rsid w:val="00795053"/>
    <w:rsid w:val="00796994"/>
    <w:rsid w:val="007A053D"/>
    <w:rsid w:val="007A1476"/>
    <w:rsid w:val="007A2A18"/>
    <w:rsid w:val="007A2F0A"/>
    <w:rsid w:val="007A31BE"/>
    <w:rsid w:val="007A322B"/>
    <w:rsid w:val="007A36EF"/>
    <w:rsid w:val="007A3DAF"/>
    <w:rsid w:val="007A3DCC"/>
    <w:rsid w:val="007A4406"/>
    <w:rsid w:val="007A4815"/>
    <w:rsid w:val="007A4B52"/>
    <w:rsid w:val="007A4DB2"/>
    <w:rsid w:val="007A5363"/>
    <w:rsid w:val="007A5776"/>
    <w:rsid w:val="007A680E"/>
    <w:rsid w:val="007A69CA"/>
    <w:rsid w:val="007A762A"/>
    <w:rsid w:val="007A79A1"/>
    <w:rsid w:val="007B0D7D"/>
    <w:rsid w:val="007B0F68"/>
    <w:rsid w:val="007B1004"/>
    <w:rsid w:val="007B22A7"/>
    <w:rsid w:val="007B2503"/>
    <w:rsid w:val="007B2A3E"/>
    <w:rsid w:val="007B36E9"/>
    <w:rsid w:val="007B40B3"/>
    <w:rsid w:val="007B44B2"/>
    <w:rsid w:val="007B5655"/>
    <w:rsid w:val="007B6D7F"/>
    <w:rsid w:val="007B72AD"/>
    <w:rsid w:val="007C0356"/>
    <w:rsid w:val="007C078F"/>
    <w:rsid w:val="007C09A6"/>
    <w:rsid w:val="007C13B4"/>
    <w:rsid w:val="007C1864"/>
    <w:rsid w:val="007C4F5E"/>
    <w:rsid w:val="007C54B1"/>
    <w:rsid w:val="007C5D2D"/>
    <w:rsid w:val="007C6434"/>
    <w:rsid w:val="007C69F7"/>
    <w:rsid w:val="007C6F0E"/>
    <w:rsid w:val="007C736B"/>
    <w:rsid w:val="007C763D"/>
    <w:rsid w:val="007C7C63"/>
    <w:rsid w:val="007D004A"/>
    <w:rsid w:val="007D13FC"/>
    <w:rsid w:val="007D1D4B"/>
    <w:rsid w:val="007D28AE"/>
    <w:rsid w:val="007D3548"/>
    <w:rsid w:val="007D76C3"/>
    <w:rsid w:val="007D78D2"/>
    <w:rsid w:val="007E123E"/>
    <w:rsid w:val="007E147E"/>
    <w:rsid w:val="007E1613"/>
    <w:rsid w:val="007E164A"/>
    <w:rsid w:val="007E18B1"/>
    <w:rsid w:val="007E1A50"/>
    <w:rsid w:val="007E1C0D"/>
    <w:rsid w:val="007E1CD8"/>
    <w:rsid w:val="007E23E6"/>
    <w:rsid w:val="007E2B6A"/>
    <w:rsid w:val="007E4E94"/>
    <w:rsid w:val="007E658B"/>
    <w:rsid w:val="007E7711"/>
    <w:rsid w:val="007F1095"/>
    <w:rsid w:val="007F16AD"/>
    <w:rsid w:val="007F1A3C"/>
    <w:rsid w:val="007F1AB6"/>
    <w:rsid w:val="007F29BE"/>
    <w:rsid w:val="007F2EFD"/>
    <w:rsid w:val="007F32E0"/>
    <w:rsid w:val="007F47B7"/>
    <w:rsid w:val="007F5406"/>
    <w:rsid w:val="007F7EA1"/>
    <w:rsid w:val="00800E12"/>
    <w:rsid w:val="0080120D"/>
    <w:rsid w:val="0080165B"/>
    <w:rsid w:val="00801689"/>
    <w:rsid w:val="00801E2B"/>
    <w:rsid w:val="00802DC3"/>
    <w:rsid w:val="0080328E"/>
    <w:rsid w:val="008033FA"/>
    <w:rsid w:val="0080574C"/>
    <w:rsid w:val="008063D1"/>
    <w:rsid w:val="008102C2"/>
    <w:rsid w:val="00810B30"/>
    <w:rsid w:val="00811113"/>
    <w:rsid w:val="0081130B"/>
    <w:rsid w:val="00812036"/>
    <w:rsid w:val="00814046"/>
    <w:rsid w:val="008148D2"/>
    <w:rsid w:val="00815060"/>
    <w:rsid w:val="00816360"/>
    <w:rsid w:val="0081696C"/>
    <w:rsid w:val="00816A61"/>
    <w:rsid w:val="0082058B"/>
    <w:rsid w:val="00820C4C"/>
    <w:rsid w:val="00821040"/>
    <w:rsid w:val="00821098"/>
    <w:rsid w:val="00821D6E"/>
    <w:rsid w:val="00822011"/>
    <w:rsid w:val="008234B5"/>
    <w:rsid w:val="00824FBF"/>
    <w:rsid w:val="00825EB5"/>
    <w:rsid w:val="00826199"/>
    <w:rsid w:val="0082792A"/>
    <w:rsid w:val="00827CF6"/>
    <w:rsid w:val="00830721"/>
    <w:rsid w:val="00830885"/>
    <w:rsid w:val="00830F81"/>
    <w:rsid w:val="00831199"/>
    <w:rsid w:val="008330D2"/>
    <w:rsid w:val="0083343D"/>
    <w:rsid w:val="0083381B"/>
    <w:rsid w:val="00835599"/>
    <w:rsid w:val="008372BB"/>
    <w:rsid w:val="00840799"/>
    <w:rsid w:val="008407E6"/>
    <w:rsid w:val="0084132E"/>
    <w:rsid w:val="00841C59"/>
    <w:rsid w:val="00841DAB"/>
    <w:rsid w:val="008421AD"/>
    <w:rsid w:val="008423EB"/>
    <w:rsid w:val="008425B9"/>
    <w:rsid w:val="008426B2"/>
    <w:rsid w:val="00842A7D"/>
    <w:rsid w:val="0084430B"/>
    <w:rsid w:val="00844F2B"/>
    <w:rsid w:val="00845841"/>
    <w:rsid w:val="008468B0"/>
    <w:rsid w:val="008479A5"/>
    <w:rsid w:val="00847C60"/>
    <w:rsid w:val="0085019C"/>
    <w:rsid w:val="008503D6"/>
    <w:rsid w:val="00850FFA"/>
    <w:rsid w:val="00851A9A"/>
    <w:rsid w:val="00851E45"/>
    <w:rsid w:val="008536C7"/>
    <w:rsid w:val="00853934"/>
    <w:rsid w:val="00853EDE"/>
    <w:rsid w:val="00854965"/>
    <w:rsid w:val="008550EC"/>
    <w:rsid w:val="00855978"/>
    <w:rsid w:val="00855AB5"/>
    <w:rsid w:val="00855F09"/>
    <w:rsid w:val="0085646A"/>
    <w:rsid w:val="00856577"/>
    <w:rsid w:val="00862B65"/>
    <w:rsid w:val="00863623"/>
    <w:rsid w:val="00863944"/>
    <w:rsid w:val="00864057"/>
    <w:rsid w:val="00864367"/>
    <w:rsid w:val="008650BC"/>
    <w:rsid w:val="0086524E"/>
    <w:rsid w:val="00866A9F"/>
    <w:rsid w:val="00866D93"/>
    <w:rsid w:val="0086742F"/>
    <w:rsid w:val="00867799"/>
    <w:rsid w:val="00870522"/>
    <w:rsid w:val="008710E2"/>
    <w:rsid w:val="00871D27"/>
    <w:rsid w:val="008725B1"/>
    <w:rsid w:val="008734B6"/>
    <w:rsid w:val="00873C7D"/>
    <w:rsid w:val="008745C3"/>
    <w:rsid w:val="00874BA3"/>
    <w:rsid w:val="00874C24"/>
    <w:rsid w:val="00875449"/>
    <w:rsid w:val="00875C43"/>
    <w:rsid w:val="008769B1"/>
    <w:rsid w:val="00877538"/>
    <w:rsid w:val="00877CFF"/>
    <w:rsid w:val="00881834"/>
    <w:rsid w:val="00881BC4"/>
    <w:rsid w:val="00882059"/>
    <w:rsid w:val="00882403"/>
    <w:rsid w:val="00882D97"/>
    <w:rsid w:val="008837D1"/>
    <w:rsid w:val="008842FA"/>
    <w:rsid w:val="008849B0"/>
    <w:rsid w:val="00885AC3"/>
    <w:rsid w:val="00885E37"/>
    <w:rsid w:val="00886E24"/>
    <w:rsid w:val="008879A3"/>
    <w:rsid w:val="00887D28"/>
    <w:rsid w:val="00892ADF"/>
    <w:rsid w:val="00892EDA"/>
    <w:rsid w:val="00892FC9"/>
    <w:rsid w:val="00893678"/>
    <w:rsid w:val="00893A80"/>
    <w:rsid w:val="0089421A"/>
    <w:rsid w:val="00894A25"/>
    <w:rsid w:val="00895263"/>
    <w:rsid w:val="00895BDD"/>
    <w:rsid w:val="008960BC"/>
    <w:rsid w:val="00896252"/>
    <w:rsid w:val="00896EDE"/>
    <w:rsid w:val="008A014D"/>
    <w:rsid w:val="008A039A"/>
    <w:rsid w:val="008A1E60"/>
    <w:rsid w:val="008A2BC5"/>
    <w:rsid w:val="008A2FE5"/>
    <w:rsid w:val="008A4075"/>
    <w:rsid w:val="008A4302"/>
    <w:rsid w:val="008A43E3"/>
    <w:rsid w:val="008A468D"/>
    <w:rsid w:val="008A4CFA"/>
    <w:rsid w:val="008A5C0B"/>
    <w:rsid w:val="008A64D2"/>
    <w:rsid w:val="008A6615"/>
    <w:rsid w:val="008A6A5B"/>
    <w:rsid w:val="008A6D92"/>
    <w:rsid w:val="008A6D95"/>
    <w:rsid w:val="008A74F6"/>
    <w:rsid w:val="008A796A"/>
    <w:rsid w:val="008B00CC"/>
    <w:rsid w:val="008B0126"/>
    <w:rsid w:val="008B0159"/>
    <w:rsid w:val="008B06E7"/>
    <w:rsid w:val="008B0E15"/>
    <w:rsid w:val="008B0E5B"/>
    <w:rsid w:val="008B17E9"/>
    <w:rsid w:val="008B33EF"/>
    <w:rsid w:val="008B4BEB"/>
    <w:rsid w:val="008B4DDA"/>
    <w:rsid w:val="008B50FB"/>
    <w:rsid w:val="008B5395"/>
    <w:rsid w:val="008B5A8B"/>
    <w:rsid w:val="008B5E1B"/>
    <w:rsid w:val="008B6EE7"/>
    <w:rsid w:val="008B6FC8"/>
    <w:rsid w:val="008B757B"/>
    <w:rsid w:val="008B7802"/>
    <w:rsid w:val="008B783C"/>
    <w:rsid w:val="008B7D97"/>
    <w:rsid w:val="008C0C36"/>
    <w:rsid w:val="008C144A"/>
    <w:rsid w:val="008C3D84"/>
    <w:rsid w:val="008C57BC"/>
    <w:rsid w:val="008C5E90"/>
    <w:rsid w:val="008C6178"/>
    <w:rsid w:val="008C6565"/>
    <w:rsid w:val="008C7CE5"/>
    <w:rsid w:val="008D071D"/>
    <w:rsid w:val="008D11AB"/>
    <w:rsid w:val="008D1C66"/>
    <w:rsid w:val="008D234B"/>
    <w:rsid w:val="008D2C3F"/>
    <w:rsid w:val="008D2ECC"/>
    <w:rsid w:val="008D337E"/>
    <w:rsid w:val="008D362F"/>
    <w:rsid w:val="008D3B26"/>
    <w:rsid w:val="008D4E47"/>
    <w:rsid w:val="008D58C6"/>
    <w:rsid w:val="008D5AF9"/>
    <w:rsid w:val="008D61A8"/>
    <w:rsid w:val="008D691D"/>
    <w:rsid w:val="008D6ADE"/>
    <w:rsid w:val="008D7147"/>
    <w:rsid w:val="008D7B6B"/>
    <w:rsid w:val="008E01C5"/>
    <w:rsid w:val="008E033E"/>
    <w:rsid w:val="008E0E7F"/>
    <w:rsid w:val="008E11AD"/>
    <w:rsid w:val="008E1831"/>
    <w:rsid w:val="008E19ED"/>
    <w:rsid w:val="008E2078"/>
    <w:rsid w:val="008E27F7"/>
    <w:rsid w:val="008E3C84"/>
    <w:rsid w:val="008E4535"/>
    <w:rsid w:val="008E4800"/>
    <w:rsid w:val="008E4C3E"/>
    <w:rsid w:val="008E60B5"/>
    <w:rsid w:val="008E6FB4"/>
    <w:rsid w:val="008F00AC"/>
    <w:rsid w:val="008F0B0E"/>
    <w:rsid w:val="008F0D3A"/>
    <w:rsid w:val="008F0EFA"/>
    <w:rsid w:val="008F10AA"/>
    <w:rsid w:val="008F1C61"/>
    <w:rsid w:val="008F1E1D"/>
    <w:rsid w:val="008F297F"/>
    <w:rsid w:val="008F2A81"/>
    <w:rsid w:val="008F2DC9"/>
    <w:rsid w:val="008F3462"/>
    <w:rsid w:val="008F3AA1"/>
    <w:rsid w:val="008F5BCD"/>
    <w:rsid w:val="008F5E18"/>
    <w:rsid w:val="008F733E"/>
    <w:rsid w:val="008F7A04"/>
    <w:rsid w:val="008F7F3E"/>
    <w:rsid w:val="00900D55"/>
    <w:rsid w:val="009017C5"/>
    <w:rsid w:val="00902946"/>
    <w:rsid w:val="00902ABB"/>
    <w:rsid w:val="009034E1"/>
    <w:rsid w:val="00903A63"/>
    <w:rsid w:val="00903CD7"/>
    <w:rsid w:val="00903D9D"/>
    <w:rsid w:val="00903E2D"/>
    <w:rsid w:val="00903F38"/>
    <w:rsid w:val="00904EC8"/>
    <w:rsid w:val="00905601"/>
    <w:rsid w:val="0090696D"/>
    <w:rsid w:val="0090763F"/>
    <w:rsid w:val="00907C3C"/>
    <w:rsid w:val="00907EFC"/>
    <w:rsid w:val="00910505"/>
    <w:rsid w:val="00910741"/>
    <w:rsid w:val="00910E90"/>
    <w:rsid w:val="0091194A"/>
    <w:rsid w:val="00913886"/>
    <w:rsid w:val="00914097"/>
    <w:rsid w:val="009140D0"/>
    <w:rsid w:val="00915DCA"/>
    <w:rsid w:val="00916DEE"/>
    <w:rsid w:val="00917246"/>
    <w:rsid w:val="00920366"/>
    <w:rsid w:val="009203A1"/>
    <w:rsid w:val="00920527"/>
    <w:rsid w:val="009228AE"/>
    <w:rsid w:val="00923226"/>
    <w:rsid w:val="00923A5B"/>
    <w:rsid w:val="009247A9"/>
    <w:rsid w:val="00925EEA"/>
    <w:rsid w:val="0092641F"/>
    <w:rsid w:val="00926A8C"/>
    <w:rsid w:val="00927520"/>
    <w:rsid w:val="009309F8"/>
    <w:rsid w:val="00930FB8"/>
    <w:rsid w:val="00931D29"/>
    <w:rsid w:val="00931F85"/>
    <w:rsid w:val="009321CF"/>
    <w:rsid w:val="00932ACF"/>
    <w:rsid w:val="009339DA"/>
    <w:rsid w:val="00933B28"/>
    <w:rsid w:val="009361DC"/>
    <w:rsid w:val="00936F15"/>
    <w:rsid w:val="00937235"/>
    <w:rsid w:val="00937AC8"/>
    <w:rsid w:val="00940813"/>
    <w:rsid w:val="00940D49"/>
    <w:rsid w:val="0094185D"/>
    <w:rsid w:val="00941979"/>
    <w:rsid w:val="00941EBB"/>
    <w:rsid w:val="009429C4"/>
    <w:rsid w:val="009437CE"/>
    <w:rsid w:val="00943992"/>
    <w:rsid w:val="009447ED"/>
    <w:rsid w:val="00945304"/>
    <w:rsid w:val="0094574E"/>
    <w:rsid w:val="00945E56"/>
    <w:rsid w:val="0095080E"/>
    <w:rsid w:val="00950B6B"/>
    <w:rsid w:val="009523EA"/>
    <w:rsid w:val="009528F9"/>
    <w:rsid w:val="00953B8F"/>
    <w:rsid w:val="009542BC"/>
    <w:rsid w:val="00954C74"/>
    <w:rsid w:val="00955F5F"/>
    <w:rsid w:val="009566F5"/>
    <w:rsid w:val="00956B64"/>
    <w:rsid w:val="00956FB5"/>
    <w:rsid w:val="0095741C"/>
    <w:rsid w:val="00957E85"/>
    <w:rsid w:val="009602FB"/>
    <w:rsid w:val="00961F3D"/>
    <w:rsid w:val="009627ED"/>
    <w:rsid w:val="0096331C"/>
    <w:rsid w:val="009636B6"/>
    <w:rsid w:val="00963AF2"/>
    <w:rsid w:val="0096429E"/>
    <w:rsid w:val="009649F8"/>
    <w:rsid w:val="00964B3A"/>
    <w:rsid w:val="0096611B"/>
    <w:rsid w:val="00967123"/>
    <w:rsid w:val="009723D0"/>
    <w:rsid w:val="00972DDE"/>
    <w:rsid w:val="009730F4"/>
    <w:rsid w:val="00973F87"/>
    <w:rsid w:val="00974BAD"/>
    <w:rsid w:val="00975591"/>
    <w:rsid w:val="009757D3"/>
    <w:rsid w:val="00975AC9"/>
    <w:rsid w:val="00976123"/>
    <w:rsid w:val="009762D8"/>
    <w:rsid w:val="009763E3"/>
    <w:rsid w:val="00976C77"/>
    <w:rsid w:val="009779B1"/>
    <w:rsid w:val="00977D0F"/>
    <w:rsid w:val="00980FE0"/>
    <w:rsid w:val="00982F78"/>
    <w:rsid w:val="00983CD4"/>
    <w:rsid w:val="009855D1"/>
    <w:rsid w:val="00985FA2"/>
    <w:rsid w:val="0098617C"/>
    <w:rsid w:val="00986842"/>
    <w:rsid w:val="00986D6C"/>
    <w:rsid w:val="00986D7E"/>
    <w:rsid w:val="009870C7"/>
    <w:rsid w:val="00987989"/>
    <w:rsid w:val="0099091C"/>
    <w:rsid w:val="00990DCD"/>
    <w:rsid w:val="00991768"/>
    <w:rsid w:val="00991F06"/>
    <w:rsid w:val="00994E39"/>
    <w:rsid w:val="00994E7E"/>
    <w:rsid w:val="00996601"/>
    <w:rsid w:val="00996AC4"/>
    <w:rsid w:val="0099721F"/>
    <w:rsid w:val="009A0D59"/>
    <w:rsid w:val="009A0E70"/>
    <w:rsid w:val="009A167A"/>
    <w:rsid w:val="009A28F0"/>
    <w:rsid w:val="009A4343"/>
    <w:rsid w:val="009A4F06"/>
    <w:rsid w:val="009A6CB7"/>
    <w:rsid w:val="009A6DD2"/>
    <w:rsid w:val="009A7A2B"/>
    <w:rsid w:val="009B0D25"/>
    <w:rsid w:val="009B20CE"/>
    <w:rsid w:val="009B3BF8"/>
    <w:rsid w:val="009B48F4"/>
    <w:rsid w:val="009B4BFF"/>
    <w:rsid w:val="009B5FBE"/>
    <w:rsid w:val="009B60CE"/>
    <w:rsid w:val="009B62CA"/>
    <w:rsid w:val="009B6F5A"/>
    <w:rsid w:val="009B715B"/>
    <w:rsid w:val="009B7337"/>
    <w:rsid w:val="009B786A"/>
    <w:rsid w:val="009C072B"/>
    <w:rsid w:val="009C0782"/>
    <w:rsid w:val="009C11B3"/>
    <w:rsid w:val="009C1EA7"/>
    <w:rsid w:val="009C24F0"/>
    <w:rsid w:val="009C2518"/>
    <w:rsid w:val="009C42ED"/>
    <w:rsid w:val="009C4F53"/>
    <w:rsid w:val="009C51F1"/>
    <w:rsid w:val="009C535B"/>
    <w:rsid w:val="009C65DB"/>
    <w:rsid w:val="009C796F"/>
    <w:rsid w:val="009D0220"/>
    <w:rsid w:val="009D0F76"/>
    <w:rsid w:val="009D1FD5"/>
    <w:rsid w:val="009D2BEE"/>
    <w:rsid w:val="009D2CA3"/>
    <w:rsid w:val="009D3AEE"/>
    <w:rsid w:val="009D3CB6"/>
    <w:rsid w:val="009D3F1E"/>
    <w:rsid w:val="009D4272"/>
    <w:rsid w:val="009D690F"/>
    <w:rsid w:val="009E0137"/>
    <w:rsid w:val="009E0CA8"/>
    <w:rsid w:val="009E0D21"/>
    <w:rsid w:val="009E3238"/>
    <w:rsid w:val="009E36E0"/>
    <w:rsid w:val="009E3CAF"/>
    <w:rsid w:val="009E6363"/>
    <w:rsid w:val="009E65F0"/>
    <w:rsid w:val="009E6781"/>
    <w:rsid w:val="009E6AD9"/>
    <w:rsid w:val="009E6B85"/>
    <w:rsid w:val="009E74DE"/>
    <w:rsid w:val="009E7D72"/>
    <w:rsid w:val="009E7EAA"/>
    <w:rsid w:val="009F02F6"/>
    <w:rsid w:val="009F0992"/>
    <w:rsid w:val="009F15C3"/>
    <w:rsid w:val="009F1DF6"/>
    <w:rsid w:val="009F22CF"/>
    <w:rsid w:val="009F29A8"/>
    <w:rsid w:val="009F2B98"/>
    <w:rsid w:val="009F63CD"/>
    <w:rsid w:val="00A0029D"/>
    <w:rsid w:val="00A0039E"/>
    <w:rsid w:val="00A0058A"/>
    <w:rsid w:val="00A00AE1"/>
    <w:rsid w:val="00A01C0D"/>
    <w:rsid w:val="00A02F5E"/>
    <w:rsid w:val="00A0312F"/>
    <w:rsid w:val="00A0352A"/>
    <w:rsid w:val="00A0361E"/>
    <w:rsid w:val="00A036C7"/>
    <w:rsid w:val="00A03846"/>
    <w:rsid w:val="00A078F8"/>
    <w:rsid w:val="00A11C14"/>
    <w:rsid w:val="00A132DF"/>
    <w:rsid w:val="00A13E9A"/>
    <w:rsid w:val="00A14215"/>
    <w:rsid w:val="00A1452D"/>
    <w:rsid w:val="00A17315"/>
    <w:rsid w:val="00A17358"/>
    <w:rsid w:val="00A203EE"/>
    <w:rsid w:val="00A20951"/>
    <w:rsid w:val="00A21117"/>
    <w:rsid w:val="00A22D85"/>
    <w:rsid w:val="00A22F5F"/>
    <w:rsid w:val="00A23533"/>
    <w:rsid w:val="00A26989"/>
    <w:rsid w:val="00A26A27"/>
    <w:rsid w:val="00A26E2B"/>
    <w:rsid w:val="00A26FC9"/>
    <w:rsid w:val="00A274AC"/>
    <w:rsid w:val="00A27B1B"/>
    <w:rsid w:val="00A3022F"/>
    <w:rsid w:val="00A31972"/>
    <w:rsid w:val="00A3273B"/>
    <w:rsid w:val="00A32F0C"/>
    <w:rsid w:val="00A338E4"/>
    <w:rsid w:val="00A339DA"/>
    <w:rsid w:val="00A34133"/>
    <w:rsid w:val="00A34C02"/>
    <w:rsid w:val="00A34D45"/>
    <w:rsid w:val="00A3639D"/>
    <w:rsid w:val="00A36D34"/>
    <w:rsid w:val="00A4018B"/>
    <w:rsid w:val="00A40EA0"/>
    <w:rsid w:val="00A42021"/>
    <w:rsid w:val="00A43519"/>
    <w:rsid w:val="00A43F47"/>
    <w:rsid w:val="00A45BAE"/>
    <w:rsid w:val="00A4633C"/>
    <w:rsid w:val="00A46CB2"/>
    <w:rsid w:val="00A47137"/>
    <w:rsid w:val="00A47209"/>
    <w:rsid w:val="00A47365"/>
    <w:rsid w:val="00A4748E"/>
    <w:rsid w:val="00A50AEF"/>
    <w:rsid w:val="00A51C7E"/>
    <w:rsid w:val="00A52683"/>
    <w:rsid w:val="00A529A1"/>
    <w:rsid w:val="00A5345A"/>
    <w:rsid w:val="00A5588B"/>
    <w:rsid w:val="00A559C8"/>
    <w:rsid w:val="00A57C8E"/>
    <w:rsid w:val="00A604F3"/>
    <w:rsid w:val="00A62087"/>
    <w:rsid w:val="00A63592"/>
    <w:rsid w:val="00A637ED"/>
    <w:rsid w:val="00A63A35"/>
    <w:rsid w:val="00A6443B"/>
    <w:rsid w:val="00A64CE1"/>
    <w:rsid w:val="00A64E36"/>
    <w:rsid w:val="00A64FC0"/>
    <w:rsid w:val="00A66383"/>
    <w:rsid w:val="00A66A2E"/>
    <w:rsid w:val="00A67AB0"/>
    <w:rsid w:val="00A70311"/>
    <w:rsid w:val="00A723A2"/>
    <w:rsid w:val="00A736EE"/>
    <w:rsid w:val="00A744BE"/>
    <w:rsid w:val="00A74994"/>
    <w:rsid w:val="00A7662E"/>
    <w:rsid w:val="00A76955"/>
    <w:rsid w:val="00A77F52"/>
    <w:rsid w:val="00A80F3A"/>
    <w:rsid w:val="00A82B74"/>
    <w:rsid w:val="00A83BD7"/>
    <w:rsid w:val="00A84052"/>
    <w:rsid w:val="00A84121"/>
    <w:rsid w:val="00A846BF"/>
    <w:rsid w:val="00A851B7"/>
    <w:rsid w:val="00A85513"/>
    <w:rsid w:val="00A85543"/>
    <w:rsid w:val="00A86574"/>
    <w:rsid w:val="00A86DE4"/>
    <w:rsid w:val="00A87ADD"/>
    <w:rsid w:val="00A90D11"/>
    <w:rsid w:val="00A92419"/>
    <w:rsid w:val="00A9417E"/>
    <w:rsid w:val="00A974CC"/>
    <w:rsid w:val="00AA0269"/>
    <w:rsid w:val="00AA0639"/>
    <w:rsid w:val="00AA2A57"/>
    <w:rsid w:val="00AA2A87"/>
    <w:rsid w:val="00AA2DC4"/>
    <w:rsid w:val="00AA5183"/>
    <w:rsid w:val="00AA7580"/>
    <w:rsid w:val="00AA765E"/>
    <w:rsid w:val="00AB0AF9"/>
    <w:rsid w:val="00AB1972"/>
    <w:rsid w:val="00AB1F61"/>
    <w:rsid w:val="00AB3800"/>
    <w:rsid w:val="00AB3991"/>
    <w:rsid w:val="00AB3C1B"/>
    <w:rsid w:val="00AB3F3C"/>
    <w:rsid w:val="00AB4F9E"/>
    <w:rsid w:val="00AB5A38"/>
    <w:rsid w:val="00AB5C30"/>
    <w:rsid w:val="00AB5F1D"/>
    <w:rsid w:val="00AB6B23"/>
    <w:rsid w:val="00AB7E54"/>
    <w:rsid w:val="00AB7FF9"/>
    <w:rsid w:val="00AC03B7"/>
    <w:rsid w:val="00AC118F"/>
    <w:rsid w:val="00AC1199"/>
    <w:rsid w:val="00AC1964"/>
    <w:rsid w:val="00AC1A88"/>
    <w:rsid w:val="00AC1DCF"/>
    <w:rsid w:val="00AC2C9D"/>
    <w:rsid w:val="00AC3583"/>
    <w:rsid w:val="00AC3C6E"/>
    <w:rsid w:val="00AC5274"/>
    <w:rsid w:val="00AC5A92"/>
    <w:rsid w:val="00AC61BB"/>
    <w:rsid w:val="00AC71CD"/>
    <w:rsid w:val="00AC7D3E"/>
    <w:rsid w:val="00AD1214"/>
    <w:rsid w:val="00AD1E7C"/>
    <w:rsid w:val="00AD2553"/>
    <w:rsid w:val="00AD29D9"/>
    <w:rsid w:val="00AD2A9D"/>
    <w:rsid w:val="00AD3163"/>
    <w:rsid w:val="00AD4043"/>
    <w:rsid w:val="00AD4850"/>
    <w:rsid w:val="00AD4AC7"/>
    <w:rsid w:val="00AD5539"/>
    <w:rsid w:val="00AD67F3"/>
    <w:rsid w:val="00AD6AD7"/>
    <w:rsid w:val="00AD6F00"/>
    <w:rsid w:val="00AD7A0C"/>
    <w:rsid w:val="00AE0030"/>
    <w:rsid w:val="00AE0BBA"/>
    <w:rsid w:val="00AE14C2"/>
    <w:rsid w:val="00AE212F"/>
    <w:rsid w:val="00AE2C42"/>
    <w:rsid w:val="00AE32AA"/>
    <w:rsid w:val="00AE4F9A"/>
    <w:rsid w:val="00AE53F5"/>
    <w:rsid w:val="00AE5F80"/>
    <w:rsid w:val="00AE63CB"/>
    <w:rsid w:val="00AE6C53"/>
    <w:rsid w:val="00AE6F0F"/>
    <w:rsid w:val="00AF2645"/>
    <w:rsid w:val="00AF3647"/>
    <w:rsid w:val="00AF37A6"/>
    <w:rsid w:val="00AF3BAD"/>
    <w:rsid w:val="00AF4658"/>
    <w:rsid w:val="00AF679A"/>
    <w:rsid w:val="00AF6A81"/>
    <w:rsid w:val="00AF78B0"/>
    <w:rsid w:val="00AF78D3"/>
    <w:rsid w:val="00B002EB"/>
    <w:rsid w:val="00B0134E"/>
    <w:rsid w:val="00B0158F"/>
    <w:rsid w:val="00B04B90"/>
    <w:rsid w:val="00B04C6E"/>
    <w:rsid w:val="00B04F6B"/>
    <w:rsid w:val="00B05003"/>
    <w:rsid w:val="00B06778"/>
    <w:rsid w:val="00B103B8"/>
    <w:rsid w:val="00B114C8"/>
    <w:rsid w:val="00B117AE"/>
    <w:rsid w:val="00B11FDA"/>
    <w:rsid w:val="00B12152"/>
    <w:rsid w:val="00B12F11"/>
    <w:rsid w:val="00B13EA3"/>
    <w:rsid w:val="00B14C59"/>
    <w:rsid w:val="00B153F5"/>
    <w:rsid w:val="00B1581A"/>
    <w:rsid w:val="00B15F90"/>
    <w:rsid w:val="00B1684B"/>
    <w:rsid w:val="00B179CF"/>
    <w:rsid w:val="00B179DD"/>
    <w:rsid w:val="00B20393"/>
    <w:rsid w:val="00B220C4"/>
    <w:rsid w:val="00B23752"/>
    <w:rsid w:val="00B23A45"/>
    <w:rsid w:val="00B23E42"/>
    <w:rsid w:val="00B24C69"/>
    <w:rsid w:val="00B25ABA"/>
    <w:rsid w:val="00B25E1B"/>
    <w:rsid w:val="00B26B5B"/>
    <w:rsid w:val="00B26DA2"/>
    <w:rsid w:val="00B30637"/>
    <w:rsid w:val="00B32A7A"/>
    <w:rsid w:val="00B34414"/>
    <w:rsid w:val="00B3463A"/>
    <w:rsid w:val="00B34D32"/>
    <w:rsid w:val="00B35684"/>
    <w:rsid w:val="00B365E0"/>
    <w:rsid w:val="00B378E1"/>
    <w:rsid w:val="00B411B0"/>
    <w:rsid w:val="00B4278A"/>
    <w:rsid w:val="00B42FE8"/>
    <w:rsid w:val="00B4300A"/>
    <w:rsid w:val="00B431B6"/>
    <w:rsid w:val="00B434C1"/>
    <w:rsid w:val="00B47A48"/>
    <w:rsid w:val="00B47ABB"/>
    <w:rsid w:val="00B5034C"/>
    <w:rsid w:val="00B50576"/>
    <w:rsid w:val="00B5062F"/>
    <w:rsid w:val="00B512DC"/>
    <w:rsid w:val="00B51BA8"/>
    <w:rsid w:val="00B52596"/>
    <w:rsid w:val="00B5294B"/>
    <w:rsid w:val="00B54011"/>
    <w:rsid w:val="00B54439"/>
    <w:rsid w:val="00B54857"/>
    <w:rsid w:val="00B54B8E"/>
    <w:rsid w:val="00B54CE5"/>
    <w:rsid w:val="00B54F73"/>
    <w:rsid w:val="00B5646F"/>
    <w:rsid w:val="00B577A6"/>
    <w:rsid w:val="00B57976"/>
    <w:rsid w:val="00B57E28"/>
    <w:rsid w:val="00B6037A"/>
    <w:rsid w:val="00B609E9"/>
    <w:rsid w:val="00B61550"/>
    <w:rsid w:val="00B6297D"/>
    <w:rsid w:val="00B62D8C"/>
    <w:rsid w:val="00B6377D"/>
    <w:rsid w:val="00B63898"/>
    <w:rsid w:val="00B63AEA"/>
    <w:rsid w:val="00B64DD2"/>
    <w:rsid w:val="00B65137"/>
    <w:rsid w:val="00B65465"/>
    <w:rsid w:val="00B6588E"/>
    <w:rsid w:val="00B65AD1"/>
    <w:rsid w:val="00B66552"/>
    <w:rsid w:val="00B67362"/>
    <w:rsid w:val="00B70035"/>
    <w:rsid w:val="00B7051A"/>
    <w:rsid w:val="00B70BD8"/>
    <w:rsid w:val="00B70C0D"/>
    <w:rsid w:val="00B717C8"/>
    <w:rsid w:val="00B72278"/>
    <w:rsid w:val="00B73167"/>
    <w:rsid w:val="00B75A50"/>
    <w:rsid w:val="00B75D10"/>
    <w:rsid w:val="00B75E67"/>
    <w:rsid w:val="00B81875"/>
    <w:rsid w:val="00B82547"/>
    <w:rsid w:val="00B834CE"/>
    <w:rsid w:val="00B83785"/>
    <w:rsid w:val="00B838FB"/>
    <w:rsid w:val="00B844FA"/>
    <w:rsid w:val="00B846AA"/>
    <w:rsid w:val="00B858A9"/>
    <w:rsid w:val="00B866C3"/>
    <w:rsid w:val="00B867EB"/>
    <w:rsid w:val="00B869D8"/>
    <w:rsid w:val="00B86F26"/>
    <w:rsid w:val="00B876BA"/>
    <w:rsid w:val="00B879AC"/>
    <w:rsid w:val="00B87A52"/>
    <w:rsid w:val="00B90832"/>
    <w:rsid w:val="00B91ED2"/>
    <w:rsid w:val="00B921CA"/>
    <w:rsid w:val="00B927CF"/>
    <w:rsid w:val="00B9323D"/>
    <w:rsid w:val="00B93B1B"/>
    <w:rsid w:val="00B93F22"/>
    <w:rsid w:val="00B95DEA"/>
    <w:rsid w:val="00B96EBC"/>
    <w:rsid w:val="00B97282"/>
    <w:rsid w:val="00BA0133"/>
    <w:rsid w:val="00BA0637"/>
    <w:rsid w:val="00BA0989"/>
    <w:rsid w:val="00BA18B6"/>
    <w:rsid w:val="00BA1A01"/>
    <w:rsid w:val="00BA26A0"/>
    <w:rsid w:val="00BA3CD6"/>
    <w:rsid w:val="00BA4DE5"/>
    <w:rsid w:val="00BA6584"/>
    <w:rsid w:val="00BA68A1"/>
    <w:rsid w:val="00BA69A4"/>
    <w:rsid w:val="00BA6EEF"/>
    <w:rsid w:val="00BA783A"/>
    <w:rsid w:val="00BA7D06"/>
    <w:rsid w:val="00BB164F"/>
    <w:rsid w:val="00BB18B9"/>
    <w:rsid w:val="00BB1EE6"/>
    <w:rsid w:val="00BB3428"/>
    <w:rsid w:val="00BB3486"/>
    <w:rsid w:val="00BB4D3E"/>
    <w:rsid w:val="00BB5207"/>
    <w:rsid w:val="00BB535D"/>
    <w:rsid w:val="00BB5601"/>
    <w:rsid w:val="00BB5637"/>
    <w:rsid w:val="00BB5667"/>
    <w:rsid w:val="00BB5D9A"/>
    <w:rsid w:val="00BB5FDC"/>
    <w:rsid w:val="00BB6607"/>
    <w:rsid w:val="00BB6AE6"/>
    <w:rsid w:val="00BB6DB9"/>
    <w:rsid w:val="00BC0065"/>
    <w:rsid w:val="00BC0167"/>
    <w:rsid w:val="00BC18EE"/>
    <w:rsid w:val="00BC1A81"/>
    <w:rsid w:val="00BC2215"/>
    <w:rsid w:val="00BC2662"/>
    <w:rsid w:val="00BC2FF8"/>
    <w:rsid w:val="00BC43FA"/>
    <w:rsid w:val="00BC5878"/>
    <w:rsid w:val="00BC5ED2"/>
    <w:rsid w:val="00BC6878"/>
    <w:rsid w:val="00BD09DF"/>
    <w:rsid w:val="00BD1377"/>
    <w:rsid w:val="00BD2CE1"/>
    <w:rsid w:val="00BD37CE"/>
    <w:rsid w:val="00BD399E"/>
    <w:rsid w:val="00BD46E2"/>
    <w:rsid w:val="00BD4A9B"/>
    <w:rsid w:val="00BD58F5"/>
    <w:rsid w:val="00BD592A"/>
    <w:rsid w:val="00BD7C04"/>
    <w:rsid w:val="00BD7CD3"/>
    <w:rsid w:val="00BE0BE9"/>
    <w:rsid w:val="00BE1205"/>
    <w:rsid w:val="00BE1423"/>
    <w:rsid w:val="00BE19F3"/>
    <w:rsid w:val="00BE1E22"/>
    <w:rsid w:val="00BE2FC1"/>
    <w:rsid w:val="00BE3CB5"/>
    <w:rsid w:val="00BE44D2"/>
    <w:rsid w:val="00BE4AC0"/>
    <w:rsid w:val="00BE68C5"/>
    <w:rsid w:val="00BE73D8"/>
    <w:rsid w:val="00BE794A"/>
    <w:rsid w:val="00BF0B30"/>
    <w:rsid w:val="00BF2070"/>
    <w:rsid w:val="00BF207D"/>
    <w:rsid w:val="00BF2827"/>
    <w:rsid w:val="00BF2EE5"/>
    <w:rsid w:val="00BF4725"/>
    <w:rsid w:val="00BF6227"/>
    <w:rsid w:val="00BF6537"/>
    <w:rsid w:val="00BF6CCC"/>
    <w:rsid w:val="00BF6D54"/>
    <w:rsid w:val="00BF7BF9"/>
    <w:rsid w:val="00C009C0"/>
    <w:rsid w:val="00C00A42"/>
    <w:rsid w:val="00C02A7F"/>
    <w:rsid w:val="00C02B4E"/>
    <w:rsid w:val="00C02DE5"/>
    <w:rsid w:val="00C03591"/>
    <w:rsid w:val="00C03BED"/>
    <w:rsid w:val="00C06EAB"/>
    <w:rsid w:val="00C07BD0"/>
    <w:rsid w:val="00C1038D"/>
    <w:rsid w:val="00C11121"/>
    <w:rsid w:val="00C1262C"/>
    <w:rsid w:val="00C127F5"/>
    <w:rsid w:val="00C1308E"/>
    <w:rsid w:val="00C137ED"/>
    <w:rsid w:val="00C138D5"/>
    <w:rsid w:val="00C149D5"/>
    <w:rsid w:val="00C15028"/>
    <w:rsid w:val="00C15A49"/>
    <w:rsid w:val="00C15DA1"/>
    <w:rsid w:val="00C164AD"/>
    <w:rsid w:val="00C16D70"/>
    <w:rsid w:val="00C17AF1"/>
    <w:rsid w:val="00C202B2"/>
    <w:rsid w:val="00C21DA1"/>
    <w:rsid w:val="00C22832"/>
    <w:rsid w:val="00C22A96"/>
    <w:rsid w:val="00C22BE1"/>
    <w:rsid w:val="00C23033"/>
    <w:rsid w:val="00C233B2"/>
    <w:rsid w:val="00C2373B"/>
    <w:rsid w:val="00C24481"/>
    <w:rsid w:val="00C2648A"/>
    <w:rsid w:val="00C30760"/>
    <w:rsid w:val="00C31C6F"/>
    <w:rsid w:val="00C328C5"/>
    <w:rsid w:val="00C32E4A"/>
    <w:rsid w:val="00C32E62"/>
    <w:rsid w:val="00C345D2"/>
    <w:rsid w:val="00C356D5"/>
    <w:rsid w:val="00C35D75"/>
    <w:rsid w:val="00C37EBE"/>
    <w:rsid w:val="00C40483"/>
    <w:rsid w:val="00C40EFA"/>
    <w:rsid w:val="00C429E7"/>
    <w:rsid w:val="00C43AE2"/>
    <w:rsid w:val="00C43F93"/>
    <w:rsid w:val="00C4425D"/>
    <w:rsid w:val="00C4532D"/>
    <w:rsid w:val="00C46320"/>
    <w:rsid w:val="00C46545"/>
    <w:rsid w:val="00C47040"/>
    <w:rsid w:val="00C47A57"/>
    <w:rsid w:val="00C47D57"/>
    <w:rsid w:val="00C47FF6"/>
    <w:rsid w:val="00C50660"/>
    <w:rsid w:val="00C5439C"/>
    <w:rsid w:val="00C54E62"/>
    <w:rsid w:val="00C551CF"/>
    <w:rsid w:val="00C55B79"/>
    <w:rsid w:val="00C55C31"/>
    <w:rsid w:val="00C55ED2"/>
    <w:rsid w:val="00C560FD"/>
    <w:rsid w:val="00C57B0A"/>
    <w:rsid w:val="00C601B9"/>
    <w:rsid w:val="00C62270"/>
    <w:rsid w:val="00C6269F"/>
    <w:rsid w:val="00C63F4A"/>
    <w:rsid w:val="00C669F7"/>
    <w:rsid w:val="00C672A6"/>
    <w:rsid w:val="00C70EC4"/>
    <w:rsid w:val="00C72A42"/>
    <w:rsid w:val="00C7552D"/>
    <w:rsid w:val="00C75A3D"/>
    <w:rsid w:val="00C75E38"/>
    <w:rsid w:val="00C75EE6"/>
    <w:rsid w:val="00C774CF"/>
    <w:rsid w:val="00C8198A"/>
    <w:rsid w:val="00C83DFF"/>
    <w:rsid w:val="00C84186"/>
    <w:rsid w:val="00C859CB"/>
    <w:rsid w:val="00C85E95"/>
    <w:rsid w:val="00C86573"/>
    <w:rsid w:val="00C86596"/>
    <w:rsid w:val="00C86A6B"/>
    <w:rsid w:val="00C90CD4"/>
    <w:rsid w:val="00C9132E"/>
    <w:rsid w:val="00C934B0"/>
    <w:rsid w:val="00C93802"/>
    <w:rsid w:val="00C93B49"/>
    <w:rsid w:val="00C94235"/>
    <w:rsid w:val="00C943AC"/>
    <w:rsid w:val="00C944A3"/>
    <w:rsid w:val="00C9477A"/>
    <w:rsid w:val="00C952FA"/>
    <w:rsid w:val="00C962DD"/>
    <w:rsid w:val="00CA04F6"/>
    <w:rsid w:val="00CA0559"/>
    <w:rsid w:val="00CA0AB0"/>
    <w:rsid w:val="00CA1821"/>
    <w:rsid w:val="00CA1AB2"/>
    <w:rsid w:val="00CA1AF6"/>
    <w:rsid w:val="00CA1DDD"/>
    <w:rsid w:val="00CA2392"/>
    <w:rsid w:val="00CA2683"/>
    <w:rsid w:val="00CA3157"/>
    <w:rsid w:val="00CA3375"/>
    <w:rsid w:val="00CA37B6"/>
    <w:rsid w:val="00CA3957"/>
    <w:rsid w:val="00CA5B86"/>
    <w:rsid w:val="00CB109E"/>
    <w:rsid w:val="00CB1C90"/>
    <w:rsid w:val="00CB272C"/>
    <w:rsid w:val="00CB485F"/>
    <w:rsid w:val="00CB4BD0"/>
    <w:rsid w:val="00CB599C"/>
    <w:rsid w:val="00CB6356"/>
    <w:rsid w:val="00CB6A16"/>
    <w:rsid w:val="00CB77A5"/>
    <w:rsid w:val="00CB796C"/>
    <w:rsid w:val="00CB7F03"/>
    <w:rsid w:val="00CC0ADF"/>
    <w:rsid w:val="00CC0C70"/>
    <w:rsid w:val="00CC19C0"/>
    <w:rsid w:val="00CC41D3"/>
    <w:rsid w:val="00CC4AAE"/>
    <w:rsid w:val="00CC4E75"/>
    <w:rsid w:val="00CC5A29"/>
    <w:rsid w:val="00CC7418"/>
    <w:rsid w:val="00CC785E"/>
    <w:rsid w:val="00CC7AAF"/>
    <w:rsid w:val="00CD0780"/>
    <w:rsid w:val="00CD1AAD"/>
    <w:rsid w:val="00CD224D"/>
    <w:rsid w:val="00CD2293"/>
    <w:rsid w:val="00CD272F"/>
    <w:rsid w:val="00CD2775"/>
    <w:rsid w:val="00CD34B8"/>
    <w:rsid w:val="00CD49F8"/>
    <w:rsid w:val="00CE0133"/>
    <w:rsid w:val="00CE05D6"/>
    <w:rsid w:val="00CE1256"/>
    <w:rsid w:val="00CE1B4E"/>
    <w:rsid w:val="00CE22B3"/>
    <w:rsid w:val="00CE242F"/>
    <w:rsid w:val="00CE2492"/>
    <w:rsid w:val="00CE3057"/>
    <w:rsid w:val="00CE3704"/>
    <w:rsid w:val="00CE3C5F"/>
    <w:rsid w:val="00CE3EDE"/>
    <w:rsid w:val="00CE3F88"/>
    <w:rsid w:val="00CE4234"/>
    <w:rsid w:val="00CE4701"/>
    <w:rsid w:val="00CE5CB4"/>
    <w:rsid w:val="00CE5EB1"/>
    <w:rsid w:val="00CE65AA"/>
    <w:rsid w:val="00CE79ED"/>
    <w:rsid w:val="00CF1680"/>
    <w:rsid w:val="00CF2A65"/>
    <w:rsid w:val="00CF3767"/>
    <w:rsid w:val="00CF4D52"/>
    <w:rsid w:val="00CF584B"/>
    <w:rsid w:val="00CF643C"/>
    <w:rsid w:val="00CF66E3"/>
    <w:rsid w:val="00CF6C96"/>
    <w:rsid w:val="00CF7676"/>
    <w:rsid w:val="00CF7EC8"/>
    <w:rsid w:val="00D006B7"/>
    <w:rsid w:val="00D00CBC"/>
    <w:rsid w:val="00D01B7F"/>
    <w:rsid w:val="00D021E6"/>
    <w:rsid w:val="00D02B59"/>
    <w:rsid w:val="00D02FBE"/>
    <w:rsid w:val="00D04BA7"/>
    <w:rsid w:val="00D05BEF"/>
    <w:rsid w:val="00D062B5"/>
    <w:rsid w:val="00D06641"/>
    <w:rsid w:val="00D06B2E"/>
    <w:rsid w:val="00D06E13"/>
    <w:rsid w:val="00D102E8"/>
    <w:rsid w:val="00D103AC"/>
    <w:rsid w:val="00D1085A"/>
    <w:rsid w:val="00D1116C"/>
    <w:rsid w:val="00D118BF"/>
    <w:rsid w:val="00D11B60"/>
    <w:rsid w:val="00D121D4"/>
    <w:rsid w:val="00D14D39"/>
    <w:rsid w:val="00D15334"/>
    <w:rsid w:val="00D156DB"/>
    <w:rsid w:val="00D158D9"/>
    <w:rsid w:val="00D16116"/>
    <w:rsid w:val="00D16CA1"/>
    <w:rsid w:val="00D16DEC"/>
    <w:rsid w:val="00D17025"/>
    <w:rsid w:val="00D1787F"/>
    <w:rsid w:val="00D178E9"/>
    <w:rsid w:val="00D17A3F"/>
    <w:rsid w:val="00D2075A"/>
    <w:rsid w:val="00D2136F"/>
    <w:rsid w:val="00D21793"/>
    <w:rsid w:val="00D2184F"/>
    <w:rsid w:val="00D223EB"/>
    <w:rsid w:val="00D22601"/>
    <w:rsid w:val="00D22648"/>
    <w:rsid w:val="00D2350B"/>
    <w:rsid w:val="00D2354F"/>
    <w:rsid w:val="00D23F86"/>
    <w:rsid w:val="00D260A7"/>
    <w:rsid w:val="00D270BC"/>
    <w:rsid w:val="00D27624"/>
    <w:rsid w:val="00D27CC7"/>
    <w:rsid w:val="00D30852"/>
    <w:rsid w:val="00D3171D"/>
    <w:rsid w:val="00D31C9E"/>
    <w:rsid w:val="00D31D1D"/>
    <w:rsid w:val="00D32F8E"/>
    <w:rsid w:val="00D34842"/>
    <w:rsid w:val="00D34AE3"/>
    <w:rsid w:val="00D350C3"/>
    <w:rsid w:val="00D35746"/>
    <w:rsid w:val="00D373FC"/>
    <w:rsid w:val="00D37410"/>
    <w:rsid w:val="00D37501"/>
    <w:rsid w:val="00D37E7B"/>
    <w:rsid w:val="00D417C6"/>
    <w:rsid w:val="00D424CE"/>
    <w:rsid w:val="00D43D37"/>
    <w:rsid w:val="00D43DBC"/>
    <w:rsid w:val="00D43E23"/>
    <w:rsid w:val="00D45403"/>
    <w:rsid w:val="00D45666"/>
    <w:rsid w:val="00D45E13"/>
    <w:rsid w:val="00D47172"/>
    <w:rsid w:val="00D512B1"/>
    <w:rsid w:val="00D5197B"/>
    <w:rsid w:val="00D51FF7"/>
    <w:rsid w:val="00D53CE8"/>
    <w:rsid w:val="00D54A49"/>
    <w:rsid w:val="00D550F4"/>
    <w:rsid w:val="00D5590F"/>
    <w:rsid w:val="00D56581"/>
    <w:rsid w:val="00D56FEF"/>
    <w:rsid w:val="00D57974"/>
    <w:rsid w:val="00D6086E"/>
    <w:rsid w:val="00D60A72"/>
    <w:rsid w:val="00D60C51"/>
    <w:rsid w:val="00D61947"/>
    <w:rsid w:val="00D61A38"/>
    <w:rsid w:val="00D61C3E"/>
    <w:rsid w:val="00D623F3"/>
    <w:rsid w:val="00D62F29"/>
    <w:rsid w:val="00D6446D"/>
    <w:rsid w:val="00D647BB"/>
    <w:rsid w:val="00D648A9"/>
    <w:rsid w:val="00D64D36"/>
    <w:rsid w:val="00D64F14"/>
    <w:rsid w:val="00D64FE3"/>
    <w:rsid w:val="00D661A6"/>
    <w:rsid w:val="00D703FB"/>
    <w:rsid w:val="00D705D4"/>
    <w:rsid w:val="00D7090D"/>
    <w:rsid w:val="00D70BEC"/>
    <w:rsid w:val="00D71513"/>
    <w:rsid w:val="00D72887"/>
    <w:rsid w:val="00D73E40"/>
    <w:rsid w:val="00D73F67"/>
    <w:rsid w:val="00D74646"/>
    <w:rsid w:val="00D75B58"/>
    <w:rsid w:val="00D765C0"/>
    <w:rsid w:val="00D76A8A"/>
    <w:rsid w:val="00D77A0B"/>
    <w:rsid w:val="00D80C49"/>
    <w:rsid w:val="00D80DD9"/>
    <w:rsid w:val="00D819E1"/>
    <w:rsid w:val="00D81F47"/>
    <w:rsid w:val="00D831F7"/>
    <w:rsid w:val="00D836B7"/>
    <w:rsid w:val="00D84F46"/>
    <w:rsid w:val="00D85E61"/>
    <w:rsid w:val="00D86227"/>
    <w:rsid w:val="00D87977"/>
    <w:rsid w:val="00D90D25"/>
    <w:rsid w:val="00D922F2"/>
    <w:rsid w:val="00D932F2"/>
    <w:rsid w:val="00D939D9"/>
    <w:rsid w:val="00D93A43"/>
    <w:rsid w:val="00D93C3F"/>
    <w:rsid w:val="00D946D1"/>
    <w:rsid w:val="00D9498B"/>
    <w:rsid w:val="00D96BF0"/>
    <w:rsid w:val="00D9767F"/>
    <w:rsid w:val="00D976C8"/>
    <w:rsid w:val="00DA0558"/>
    <w:rsid w:val="00DA1CE5"/>
    <w:rsid w:val="00DA1EAB"/>
    <w:rsid w:val="00DA2958"/>
    <w:rsid w:val="00DA29E1"/>
    <w:rsid w:val="00DA458A"/>
    <w:rsid w:val="00DA52A9"/>
    <w:rsid w:val="00DA58D8"/>
    <w:rsid w:val="00DA5B3C"/>
    <w:rsid w:val="00DA724F"/>
    <w:rsid w:val="00DB00C9"/>
    <w:rsid w:val="00DB07CC"/>
    <w:rsid w:val="00DB08B3"/>
    <w:rsid w:val="00DB36F3"/>
    <w:rsid w:val="00DB40CA"/>
    <w:rsid w:val="00DB46C6"/>
    <w:rsid w:val="00DB50C6"/>
    <w:rsid w:val="00DB5537"/>
    <w:rsid w:val="00DB58FD"/>
    <w:rsid w:val="00DB6B89"/>
    <w:rsid w:val="00DB6C18"/>
    <w:rsid w:val="00DB7B0E"/>
    <w:rsid w:val="00DC0898"/>
    <w:rsid w:val="00DC0D0B"/>
    <w:rsid w:val="00DC15BB"/>
    <w:rsid w:val="00DC1FC1"/>
    <w:rsid w:val="00DC20A7"/>
    <w:rsid w:val="00DC27F4"/>
    <w:rsid w:val="00DC2F2B"/>
    <w:rsid w:val="00DC370E"/>
    <w:rsid w:val="00DC4FB5"/>
    <w:rsid w:val="00DC543B"/>
    <w:rsid w:val="00DC61DE"/>
    <w:rsid w:val="00DC676A"/>
    <w:rsid w:val="00DC6A9A"/>
    <w:rsid w:val="00DC6C4C"/>
    <w:rsid w:val="00DC782B"/>
    <w:rsid w:val="00DD0126"/>
    <w:rsid w:val="00DD0329"/>
    <w:rsid w:val="00DD24E0"/>
    <w:rsid w:val="00DD286C"/>
    <w:rsid w:val="00DD2FE7"/>
    <w:rsid w:val="00DD3443"/>
    <w:rsid w:val="00DD3F22"/>
    <w:rsid w:val="00DD430A"/>
    <w:rsid w:val="00DD4777"/>
    <w:rsid w:val="00DD605E"/>
    <w:rsid w:val="00DD6759"/>
    <w:rsid w:val="00DD6BBD"/>
    <w:rsid w:val="00DD73F6"/>
    <w:rsid w:val="00DD767B"/>
    <w:rsid w:val="00DE0ECC"/>
    <w:rsid w:val="00DE0EEF"/>
    <w:rsid w:val="00DE1408"/>
    <w:rsid w:val="00DE21E4"/>
    <w:rsid w:val="00DE22E2"/>
    <w:rsid w:val="00DE232C"/>
    <w:rsid w:val="00DE3BCF"/>
    <w:rsid w:val="00DE3CAC"/>
    <w:rsid w:val="00DE3E84"/>
    <w:rsid w:val="00DE4457"/>
    <w:rsid w:val="00DE4927"/>
    <w:rsid w:val="00DE50BB"/>
    <w:rsid w:val="00DE63CA"/>
    <w:rsid w:val="00DE69B4"/>
    <w:rsid w:val="00DE7A7D"/>
    <w:rsid w:val="00DF0230"/>
    <w:rsid w:val="00DF03F8"/>
    <w:rsid w:val="00DF1F0D"/>
    <w:rsid w:val="00DF2137"/>
    <w:rsid w:val="00DF239C"/>
    <w:rsid w:val="00DF3250"/>
    <w:rsid w:val="00DF3585"/>
    <w:rsid w:val="00DF47B9"/>
    <w:rsid w:val="00DF528F"/>
    <w:rsid w:val="00DF5426"/>
    <w:rsid w:val="00DF5E6D"/>
    <w:rsid w:val="00DF5FAF"/>
    <w:rsid w:val="00DF6537"/>
    <w:rsid w:val="00DF6673"/>
    <w:rsid w:val="00DF6867"/>
    <w:rsid w:val="00DF7351"/>
    <w:rsid w:val="00E0039C"/>
    <w:rsid w:val="00E02DCD"/>
    <w:rsid w:val="00E035AA"/>
    <w:rsid w:val="00E03CA1"/>
    <w:rsid w:val="00E03F95"/>
    <w:rsid w:val="00E04E3C"/>
    <w:rsid w:val="00E05262"/>
    <w:rsid w:val="00E05496"/>
    <w:rsid w:val="00E05E8E"/>
    <w:rsid w:val="00E068E7"/>
    <w:rsid w:val="00E1113E"/>
    <w:rsid w:val="00E12221"/>
    <w:rsid w:val="00E13835"/>
    <w:rsid w:val="00E14127"/>
    <w:rsid w:val="00E141DE"/>
    <w:rsid w:val="00E14AC2"/>
    <w:rsid w:val="00E160A3"/>
    <w:rsid w:val="00E16453"/>
    <w:rsid w:val="00E16EF4"/>
    <w:rsid w:val="00E17703"/>
    <w:rsid w:val="00E200F9"/>
    <w:rsid w:val="00E2110A"/>
    <w:rsid w:val="00E2210E"/>
    <w:rsid w:val="00E22E67"/>
    <w:rsid w:val="00E23089"/>
    <w:rsid w:val="00E2326D"/>
    <w:rsid w:val="00E2334D"/>
    <w:rsid w:val="00E241A8"/>
    <w:rsid w:val="00E24ED6"/>
    <w:rsid w:val="00E27CFA"/>
    <w:rsid w:val="00E30152"/>
    <w:rsid w:val="00E324B8"/>
    <w:rsid w:val="00E32C8F"/>
    <w:rsid w:val="00E32EE4"/>
    <w:rsid w:val="00E33E32"/>
    <w:rsid w:val="00E34E1E"/>
    <w:rsid w:val="00E3505D"/>
    <w:rsid w:val="00E361DE"/>
    <w:rsid w:val="00E37519"/>
    <w:rsid w:val="00E37C09"/>
    <w:rsid w:val="00E40716"/>
    <w:rsid w:val="00E4161C"/>
    <w:rsid w:val="00E41E33"/>
    <w:rsid w:val="00E42714"/>
    <w:rsid w:val="00E43598"/>
    <w:rsid w:val="00E442EB"/>
    <w:rsid w:val="00E448DD"/>
    <w:rsid w:val="00E44B80"/>
    <w:rsid w:val="00E46470"/>
    <w:rsid w:val="00E46BA6"/>
    <w:rsid w:val="00E46DB6"/>
    <w:rsid w:val="00E46E48"/>
    <w:rsid w:val="00E506D4"/>
    <w:rsid w:val="00E50F9B"/>
    <w:rsid w:val="00E53CB3"/>
    <w:rsid w:val="00E53D7F"/>
    <w:rsid w:val="00E53F40"/>
    <w:rsid w:val="00E545E5"/>
    <w:rsid w:val="00E552BE"/>
    <w:rsid w:val="00E55F34"/>
    <w:rsid w:val="00E5776B"/>
    <w:rsid w:val="00E57AA9"/>
    <w:rsid w:val="00E60026"/>
    <w:rsid w:val="00E60156"/>
    <w:rsid w:val="00E603CF"/>
    <w:rsid w:val="00E60CDE"/>
    <w:rsid w:val="00E6254B"/>
    <w:rsid w:val="00E62D3A"/>
    <w:rsid w:val="00E62D5F"/>
    <w:rsid w:val="00E62D64"/>
    <w:rsid w:val="00E634F9"/>
    <w:rsid w:val="00E6646A"/>
    <w:rsid w:val="00E667CE"/>
    <w:rsid w:val="00E70897"/>
    <w:rsid w:val="00E70C3F"/>
    <w:rsid w:val="00E70CB3"/>
    <w:rsid w:val="00E71CE6"/>
    <w:rsid w:val="00E731B2"/>
    <w:rsid w:val="00E73501"/>
    <w:rsid w:val="00E755E2"/>
    <w:rsid w:val="00E76D87"/>
    <w:rsid w:val="00E76FE0"/>
    <w:rsid w:val="00E776B7"/>
    <w:rsid w:val="00E77FF1"/>
    <w:rsid w:val="00E805C3"/>
    <w:rsid w:val="00E80E68"/>
    <w:rsid w:val="00E830B8"/>
    <w:rsid w:val="00E83C16"/>
    <w:rsid w:val="00E8442C"/>
    <w:rsid w:val="00E867C2"/>
    <w:rsid w:val="00E92ED2"/>
    <w:rsid w:val="00E9361C"/>
    <w:rsid w:val="00E958BB"/>
    <w:rsid w:val="00E962EE"/>
    <w:rsid w:val="00E963BB"/>
    <w:rsid w:val="00EA0074"/>
    <w:rsid w:val="00EA0E3C"/>
    <w:rsid w:val="00EA1439"/>
    <w:rsid w:val="00EA1CC6"/>
    <w:rsid w:val="00EA5060"/>
    <w:rsid w:val="00EA5198"/>
    <w:rsid w:val="00EA54E4"/>
    <w:rsid w:val="00EA6297"/>
    <w:rsid w:val="00EA68B4"/>
    <w:rsid w:val="00EA6A18"/>
    <w:rsid w:val="00EA7459"/>
    <w:rsid w:val="00EB098F"/>
    <w:rsid w:val="00EB0A95"/>
    <w:rsid w:val="00EB136E"/>
    <w:rsid w:val="00EB1E89"/>
    <w:rsid w:val="00EB2117"/>
    <w:rsid w:val="00EB3F64"/>
    <w:rsid w:val="00EB5089"/>
    <w:rsid w:val="00EB58E0"/>
    <w:rsid w:val="00EC0D37"/>
    <w:rsid w:val="00EC0D8A"/>
    <w:rsid w:val="00EC15E4"/>
    <w:rsid w:val="00EC348A"/>
    <w:rsid w:val="00EC37F9"/>
    <w:rsid w:val="00EC477F"/>
    <w:rsid w:val="00EC59C6"/>
    <w:rsid w:val="00EC5AAA"/>
    <w:rsid w:val="00EC609A"/>
    <w:rsid w:val="00EC6E6D"/>
    <w:rsid w:val="00EC7387"/>
    <w:rsid w:val="00ED1056"/>
    <w:rsid w:val="00ED2097"/>
    <w:rsid w:val="00ED258B"/>
    <w:rsid w:val="00ED2E1E"/>
    <w:rsid w:val="00ED328B"/>
    <w:rsid w:val="00ED4360"/>
    <w:rsid w:val="00ED4C5A"/>
    <w:rsid w:val="00ED50CD"/>
    <w:rsid w:val="00ED584B"/>
    <w:rsid w:val="00ED5C62"/>
    <w:rsid w:val="00ED76CA"/>
    <w:rsid w:val="00EE04F1"/>
    <w:rsid w:val="00EE0571"/>
    <w:rsid w:val="00EE116B"/>
    <w:rsid w:val="00EE27F2"/>
    <w:rsid w:val="00EE61F8"/>
    <w:rsid w:val="00EE68EB"/>
    <w:rsid w:val="00EE6D68"/>
    <w:rsid w:val="00EE716E"/>
    <w:rsid w:val="00EE7D99"/>
    <w:rsid w:val="00EE7FE2"/>
    <w:rsid w:val="00EF0EE3"/>
    <w:rsid w:val="00EF1244"/>
    <w:rsid w:val="00EF12A8"/>
    <w:rsid w:val="00EF1C31"/>
    <w:rsid w:val="00EF270C"/>
    <w:rsid w:val="00EF33E6"/>
    <w:rsid w:val="00EF3DFD"/>
    <w:rsid w:val="00EF405D"/>
    <w:rsid w:val="00EF6715"/>
    <w:rsid w:val="00EF71EB"/>
    <w:rsid w:val="00F00547"/>
    <w:rsid w:val="00F010B1"/>
    <w:rsid w:val="00F01A38"/>
    <w:rsid w:val="00F0284C"/>
    <w:rsid w:val="00F02D2D"/>
    <w:rsid w:val="00F0317E"/>
    <w:rsid w:val="00F0345B"/>
    <w:rsid w:val="00F03E51"/>
    <w:rsid w:val="00F04988"/>
    <w:rsid w:val="00F04A94"/>
    <w:rsid w:val="00F04D63"/>
    <w:rsid w:val="00F10269"/>
    <w:rsid w:val="00F10D04"/>
    <w:rsid w:val="00F11148"/>
    <w:rsid w:val="00F1174A"/>
    <w:rsid w:val="00F11A8E"/>
    <w:rsid w:val="00F13177"/>
    <w:rsid w:val="00F13595"/>
    <w:rsid w:val="00F136A2"/>
    <w:rsid w:val="00F13935"/>
    <w:rsid w:val="00F13F4E"/>
    <w:rsid w:val="00F14F4A"/>
    <w:rsid w:val="00F1513D"/>
    <w:rsid w:val="00F15456"/>
    <w:rsid w:val="00F16BF5"/>
    <w:rsid w:val="00F16FD5"/>
    <w:rsid w:val="00F2054F"/>
    <w:rsid w:val="00F20617"/>
    <w:rsid w:val="00F22747"/>
    <w:rsid w:val="00F22A93"/>
    <w:rsid w:val="00F231F2"/>
    <w:rsid w:val="00F232E4"/>
    <w:rsid w:val="00F245A9"/>
    <w:rsid w:val="00F258BF"/>
    <w:rsid w:val="00F25938"/>
    <w:rsid w:val="00F2669B"/>
    <w:rsid w:val="00F269FD"/>
    <w:rsid w:val="00F26A68"/>
    <w:rsid w:val="00F26F1C"/>
    <w:rsid w:val="00F272E9"/>
    <w:rsid w:val="00F2788E"/>
    <w:rsid w:val="00F300ED"/>
    <w:rsid w:val="00F301C9"/>
    <w:rsid w:val="00F30954"/>
    <w:rsid w:val="00F32041"/>
    <w:rsid w:val="00F3220B"/>
    <w:rsid w:val="00F32933"/>
    <w:rsid w:val="00F32BD7"/>
    <w:rsid w:val="00F332E5"/>
    <w:rsid w:val="00F33AAE"/>
    <w:rsid w:val="00F34C3C"/>
    <w:rsid w:val="00F3521A"/>
    <w:rsid w:val="00F357D1"/>
    <w:rsid w:val="00F363AF"/>
    <w:rsid w:val="00F36A58"/>
    <w:rsid w:val="00F36AAA"/>
    <w:rsid w:val="00F36F0A"/>
    <w:rsid w:val="00F37758"/>
    <w:rsid w:val="00F408AB"/>
    <w:rsid w:val="00F40E01"/>
    <w:rsid w:val="00F422A5"/>
    <w:rsid w:val="00F425C9"/>
    <w:rsid w:val="00F43354"/>
    <w:rsid w:val="00F4354F"/>
    <w:rsid w:val="00F44757"/>
    <w:rsid w:val="00F451FF"/>
    <w:rsid w:val="00F4582B"/>
    <w:rsid w:val="00F46D96"/>
    <w:rsid w:val="00F47870"/>
    <w:rsid w:val="00F50175"/>
    <w:rsid w:val="00F50BD7"/>
    <w:rsid w:val="00F51C2F"/>
    <w:rsid w:val="00F51CB5"/>
    <w:rsid w:val="00F53388"/>
    <w:rsid w:val="00F544B5"/>
    <w:rsid w:val="00F57150"/>
    <w:rsid w:val="00F573EA"/>
    <w:rsid w:val="00F61826"/>
    <w:rsid w:val="00F61EBE"/>
    <w:rsid w:val="00F620BE"/>
    <w:rsid w:val="00F621C7"/>
    <w:rsid w:val="00F62392"/>
    <w:rsid w:val="00F63FA2"/>
    <w:rsid w:val="00F63FCD"/>
    <w:rsid w:val="00F65193"/>
    <w:rsid w:val="00F65469"/>
    <w:rsid w:val="00F655E3"/>
    <w:rsid w:val="00F65799"/>
    <w:rsid w:val="00F66380"/>
    <w:rsid w:val="00F66F90"/>
    <w:rsid w:val="00F70FC4"/>
    <w:rsid w:val="00F70FEF"/>
    <w:rsid w:val="00F71DCA"/>
    <w:rsid w:val="00F72260"/>
    <w:rsid w:val="00F741B6"/>
    <w:rsid w:val="00F75196"/>
    <w:rsid w:val="00F75BBA"/>
    <w:rsid w:val="00F76C3A"/>
    <w:rsid w:val="00F76C49"/>
    <w:rsid w:val="00F76D98"/>
    <w:rsid w:val="00F81D4D"/>
    <w:rsid w:val="00F823B7"/>
    <w:rsid w:val="00F8290D"/>
    <w:rsid w:val="00F83E03"/>
    <w:rsid w:val="00F83EBC"/>
    <w:rsid w:val="00F842CB"/>
    <w:rsid w:val="00F84640"/>
    <w:rsid w:val="00F8570A"/>
    <w:rsid w:val="00F87ACF"/>
    <w:rsid w:val="00F87DAC"/>
    <w:rsid w:val="00F90471"/>
    <w:rsid w:val="00F9102D"/>
    <w:rsid w:val="00F913D2"/>
    <w:rsid w:val="00F91D31"/>
    <w:rsid w:val="00F92ACC"/>
    <w:rsid w:val="00F92B76"/>
    <w:rsid w:val="00F93F7E"/>
    <w:rsid w:val="00F94169"/>
    <w:rsid w:val="00F946DE"/>
    <w:rsid w:val="00F9483C"/>
    <w:rsid w:val="00F95078"/>
    <w:rsid w:val="00F966D8"/>
    <w:rsid w:val="00F96AED"/>
    <w:rsid w:val="00F96F7B"/>
    <w:rsid w:val="00F97421"/>
    <w:rsid w:val="00F97740"/>
    <w:rsid w:val="00FA24B2"/>
    <w:rsid w:val="00FA5031"/>
    <w:rsid w:val="00FA52A5"/>
    <w:rsid w:val="00FA68E1"/>
    <w:rsid w:val="00FA6F32"/>
    <w:rsid w:val="00FA7693"/>
    <w:rsid w:val="00FA7A04"/>
    <w:rsid w:val="00FB1268"/>
    <w:rsid w:val="00FB2E5C"/>
    <w:rsid w:val="00FB32DF"/>
    <w:rsid w:val="00FB3701"/>
    <w:rsid w:val="00FB370E"/>
    <w:rsid w:val="00FB3E56"/>
    <w:rsid w:val="00FB4E50"/>
    <w:rsid w:val="00FB51D5"/>
    <w:rsid w:val="00FB53BE"/>
    <w:rsid w:val="00FB5AD0"/>
    <w:rsid w:val="00FB608A"/>
    <w:rsid w:val="00FB6246"/>
    <w:rsid w:val="00FB6308"/>
    <w:rsid w:val="00FB7353"/>
    <w:rsid w:val="00FB7709"/>
    <w:rsid w:val="00FC0A4D"/>
    <w:rsid w:val="00FC0B43"/>
    <w:rsid w:val="00FC1979"/>
    <w:rsid w:val="00FC25C7"/>
    <w:rsid w:val="00FC2E6F"/>
    <w:rsid w:val="00FC3700"/>
    <w:rsid w:val="00FC5676"/>
    <w:rsid w:val="00FC6592"/>
    <w:rsid w:val="00FC725C"/>
    <w:rsid w:val="00FC72AA"/>
    <w:rsid w:val="00FC755D"/>
    <w:rsid w:val="00FC7C8E"/>
    <w:rsid w:val="00FC7DC4"/>
    <w:rsid w:val="00FD0A61"/>
    <w:rsid w:val="00FD1291"/>
    <w:rsid w:val="00FD1917"/>
    <w:rsid w:val="00FD220A"/>
    <w:rsid w:val="00FD29C9"/>
    <w:rsid w:val="00FD2DCC"/>
    <w:rsid w:val="00FD431D"/>
    <w:rsid w:val="00FD5662"/>
    <w:rsid w:val="00FD591C"/>
    <w:rsid w:val="00FD5F97"/>
    <w:rsid w:val="00FD67FD"/>
    <w:rsid w:val="00FD6F02"/>
    <w:rsid w:val="00FD7FB7"/>
    <w:rsid w:val="00FE01BD"/>
    <w:rsid w:val="00FE1131"/>
    <w:rsid w:val="00FE13B6"/>
    <w:rsid w:val="00FE1D78"/>
    <w:rsid w:val="00FE2343"/>
    <w:rsid w:val="00FE265B"/>
    <w:rsid w:val="00FE328E"/>
    <w:rsid w:val="00FE498B"/>
    <w:rsid w:val="00FE58B4"/>
    <w:rsid w:val="00FE7130"/>
    <w:rsid w:val="00FF176A"/>
    <w:rsid w:val="00FF204F"/>
    <w:rsid w:val="00FF2CEE"/>
    <w:rsid w:val="00FF3E51"/>
    <w:rsid w:val="00FF4C16"/>
    <w:rsid w:val="00FF51B5"/>
    <w:rsid w:val="00FF5520"/>
    <w:rsid w:val="00FF58FD"/>
    <w:rsid w:val="00FF62D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856B2F"/>
  <w15:chartTrackingRefBased/>
  <w15:docId w15:val="{31A140AD-F199-4FF3-8F30-8048EA706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73167"/>
    <w:pPr>
      <w:spacing w:after="0" w:line="240" w:lineRule="auto"/>
    </w:pPr>
    <w:rPr>
      <w:rFonts w:ascii="Times New Roman" w:eastAsia="Times New Roman" w:hAnsi="Times New Roman" w:cs="Times New Roman"/>
      <w:sz w:val="24"/>
      <w:szCs w:val="24"/>
      <w:lang w:eastAsia="nl-NL"/>
    </w:rPr>
  </w:style>
  <w:style w:type="paragraph" w:styleId="berschrift1">
    <w:name w:val="heading 1"/>
    <w:basedOn w:val="Standard"/>
    <w:next w:val="Standard"/>
    <w:link w:val="berschrift1Zchn"/>
    <w:uiPriority w:val="9"/>
    <w:qFormat/>
    <w:rsid w:val="00B73167"/>
    <w:pPr>
      <w:keepNext/>
      <w:keepLines/>
      <w:numPr>
        <w:numId w:val="5"/>
      </w:numPr>
      <w:spacing w:before="120" w:after="120" w:line="360" w:lineRule="auto"/>
      <w:jc w:val="both"/>
      <w:outlineLvl w:val="0"/>
    </w:pPr>
    <w:rPr>
      <w:rFonts w:eastAsiaTheme="majorEastAsia" w:cstheme="majorBidi"/>
      <w:b/>
      <w:color w:val="000000" w:themeColor="text1"/>
      <w:szCs w:val="32"/>
    </w:rPr>
  </w:style>
  <w:style w:type="paragraph" w:styleId="berschrift2">
    <w:name w:val="heading 2"/>
    <w:basedOn w:val="Standard"/>
    <w:next w:val="Standard"/>
    <w:link w:val="berschrift2Zchn"/>
    <w:uiPriority w:val="9"/>
    <w:unhideWhenUsed/>
    <w:qFormat/>
    <w:rsid w:val="00B73167"/>
    <w:pPr>
      <w:keepNext/>
      <w:keepLines/>
      <w:numPr>
        <w:numId w:val="9"/>
      </w:numPr>
      <w:spacing w:before="120" w:after="120" w:line="360" w:lineRule="auto"/>
      <w:ind w:left="924" w:hanging="357"/>
      <w:jc w:val="both"/>
      <w:outlineLvl w:val="1"/>
    </w:pPr>
    <w:rPr>
      <w:rFonts w:eastAsiaTheme="majorEastAsia" w:cstheme="majorBidi"/>
      <w:b/>
      <w:szCs w:val="26"/>
    </w:rPr>
  </w:style>
  <w:style w:type="paragraph" w:styleId="berschrift3">
    <w:name w:val="heading 3"/>
    <w:basedOn w:val="Standard"/>
    <w:next w:val="Standard"/>
    <w:link w:val="berschrift3Zchn"/>
    <w:uiPriority w:val="9"/>
    <w:unhideWhenUsed/>
    <w:qFormat/>
    <w:rsid w:val="00BC2662"/>
    <w:pPr>
      <w:keepNext/>
      <w:keepLines/>
      <w:numPr>
        <w:numId w:val="11"/>
      </w:numPr>
      <w:spacing w:before="120" w:after="120" w:line="360" w:lineRule="auto"/>
      <w:ind w:left="1208" w:hanging="357"/>
      <w:jc w:val="both"/>
      <w:outlineLvl w:val="2"/>
    </w:pPr>
    <w:rPr>
      <w:rFonts w:eastAsiaTheme="majorEastAsia" w:cstheme="majorBidi"/>
      <w:i/>
      <w:color w:val="000000" w:themeColor="text1"/>
    </w:rPr>
  </w:style>
  <w:style w:type="paragraph" w:styleId="berschrift4">
    <w:name w:val="heading 4"/>
    <w:basedOn w:val="Standard"/>
    <w:next w:val="Standard"/>
    <w:link w:val="berschrift4Zchn"/>
    <w:uiPriority w:val="9"/>
    <w:unhideWhenUsed/>
    <w:qFormat/>
    <w:rsid w:val="00FF204F"/>
    <w:pPr>
      <w:keepNext/>
      <w:keepLines/>
      <w:numPr>
        <w:numId w:val="19"/>
      </w:numPr>
      <w:spacing w:before="120" w:after="120" w:line="360" w:lineRule="auto"/>
      <w:ind w:left="714" w:hanging="357"/>
      <w:outlineLvl w:val="3"/>
    </w:pPr>
    <w:rPr>
      <w:rFonts w:eastAsiaTheme="majorEastAsia" w:cstheme="majorBidi"/>
      <w:iCs/>
    </w:rPr>
  </w:style>
  <w:style w:type="paragraph" w:styleId="berschrift5">
    <w:name w:val="heading 5"/>
    <w:basedOn w:val="Standard"/>
    <w:next w:val="Standard"/>
    <w:link w:val="berschrift5Zchn"/>
    <w:uiPriority w:val="9"/>
    <w:unhideWhenUsed/>
    <w:qFormat/>
    <w:rsid w:val="00047453"/>
    <w:pPr>
      <w:keepNext/>
      <w:keepLines/>
      <w:numPr>
        <w:numId w:val="37"/>
      </w:numPr>
      <w:spacing w:line="360" w:lineRule="auto"/>
      <w:jc w:val="both"/>
      <w:outlineLvl w:val="4"/>
    </w:pPr>
    <w:rPr>
      <w:rFonts w:eastAsiaTheme="majorEastAsia" w:cstheme="majorBidi"/>
      <w:color w:val="000000" w:themeColor="text1"/>
    </w:rPr>
  </w:style>
  <w:style w:type="paragraph" w:styleId="berschrift6">
    <w:name w:val="heading 6"/>
    <w:basedOn w:val="Standard"/>
    <w:next w:val="Standard"/>
    <w:link w:val="berschrift6Zchn"/>
    <w:uiPriority w:val="9"/>
    <w:unhideWhenUsed/>
    <w:qFormat/>
    <w:rsid w:val="00047453"/>
    <w:pPr>
      <w:keepNext/>
      <w:keepLines/>
      <w:numPr>
        <w:numId w:val="39"/>
      </w:numPr>
      <w:spacing w:line="360" w:lineRule="auto"/>
      <w:jc w:val="both"/>
      <w:outlineLvl w:val="5"/>
    </w:pPr>
    <w:rPr>
      <w:rFonts w:eastAsiaTheme="majorEastAsia" w:cstheme="majorBidi"/>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rsid w:val="00B73167"/>
    <w:rPr>
      <w:sz w:val="20"/>
      <w:szCs w:val="20"/>
    </w:rPr>
  </w:style>
  <w:style w:type="character" w:customStyle="1" w:styleId="FunotentextZchn">
    <w:name w:val="Fußnotentext Zchn"/>
    <w:basedOn w:val="Absatz-Standardschriftart"/>
    <w:link w:val="Funotentext"/>
    <w:uiPriority w:val="99"/>
    <w:rsid w:val="00B73167"/>
    <w:rPr>
      <w:rFonts w:ascii="Times New Roman" w:eastAsia="Times New Roman" w:hAnsi="Times New Roman" w:cs="Times New Roman"/>
      <w:sz w:val="20"/>
      <w:szCs w:val="20"/>
      <w:lang w:eastAsia="nl-NL"/>
    </w:rPr>
  </w:style>
  <w:style w:type="character" w:styleId="Funotenzeichen">
    <w:name w:val="footnote reference"/>
    <w:aliases w:val="OZNAKA OPOMBE,FZ,(Voetnootmarkering),ftref,BVI fnr,Footnote symbol,Footnote,Footnote Reference Superscript,Footnote symboFußnotenzeichen,Footnote sign,EN Footnote Reference,Times 10 Point,Exposant 3 Point,note TESI"/>
    <w:basedOn w:val="Absatz-Standardschriftart"/>
    <w:rsid w:val="00B73167"/>
    <w:rPr>
      <w:vertAlign w:val="superscript"/>
    </w:rPr>
  </w:style>
  <w:style w:type="character" w:customStyle="1" w:styleId="berschrift1Zchn">
    <w:name w:val="Überschrift 1 Zchn"/>
    <w:basedOn w:val="Absatz-Standardschriftart"/>
    <w:link w:val="berschrift1"/>
    <w:uiPriority w:val="9"/>
    <w:rsid w:val="00B73167"/>
    <w:rPr>
      <w:rFonts w:ascii="Times New Roman" w:eastAsiaTheme="majorEastAsia" w:hAnsi="Times New Roman" w:cstheme="majorBidi"/>
      <w:b/>
      <w:color w:val="000000" w:themeColor="text1"/>
      <w:sz w:val="24"/>
      <w:szCs w:val="32"/>
      <w:lang w:eastAsia="nl-NL"/>
    </w:rPr>
  </w:style>
  <w:style w:type="paragraph" w:styleId="Listenabsatz">
    <w:name w:val="List Paragraph"/>
    <w:basedOn w:val="Standard"/>
    <w:uiPriority w:val="34"/>
    <w:qFormat/>
    <w:rsid w:val="00B73167"/>
    <w:pPr>
      <w:ind w:left="720"/>
      <w:contextualSpacing/>
    </w:pPr>
    <w:rPr>
      <w:kern w:val="2"/>
      <w14:ligatures w14:val="standardContextual"/>
    </w:rPr>
  </w:style>
  <w:style w:type="character" w:styleId="Hyperlink">
    <w:name w:val="Hyperlink"/>
    <w:basedOn w:val="Absatz-Standardschriftart"/>
    <w:uiPriority w:val="99"/>
    <w:rsid w:val="00B73167"/>
    <w:rPr>
      <w:color w:val="0563C1" w:themeColor="hyperlink"/>
      <w:u w:val="single"/>
    </w:rPr>
  </w:style>
  <w:style w:type="character" w:customStyle="1" w:styleId="berschrift2Zchn">
    <w:name w:val="Überschrift 2 Zchn"/>
    <w:basedOn w:val="Absatz-Standardschriftart"/>
    <w:link w:val="berschrift2"/>
    <w:uiPriority w:val="9"/>
    <w:rsid w:val="00B73167"/>
    <w:rPr>
      <w:rFonts w:ascii="Times New Roman" w:eastAsiaTheme="majorEastAsia" w:hAnsi="Times New Roman" w:cstheme="majorBidi"/>
      <w:b/>
      <w:sz w:val="24"/>
      <w:szCs w:val="26"/>
      <w:lang w:eastAsia="nl-NL"/>
    </w:rPr>
  </w:style>
  <w:style w:type="character" w:customStyle="1" w:styleId="berschrift3Zchn">
    <w:name w:val="Überschrift 3 Zchn"/>
    <w:basedOn w:val="Absatz-Standardschriftart"/>
    <w:link w:val="berschrift3"/>
    <w:uiPriority w:val="9"/>
    <w:rsid w:val="00BC2662"/>
    <w:rPr>
      <w:rFonts w:ascii="Times New Roman" w:eastAsiaTheme="majorEastAsia" w:hAnsi="Times New Roman" w:cstheme="majorBidi"/>
      <w:i/>
      <w:color w:val="000000" w:themeColor="text1"/>
      <w:sz w:val="24"/>
      <w:szCs w:val="24"/>
      <w:lang w:eastAsia="nl-NL"/>
    </w:rPr>
  </w:style>
  <w:style w:type="character" w:customStyle="1" w:styleId="berschrift4Zchn">
    <w:name w:val="Überschrift 4 Zchn"/>
    <w:basedOn w:val="Absatz-Standardschriftart"/>
    <w:link w:val="berschrift4"/>
    <w:uiPriority w:val="9"/>
    <w:rsid w:val="00FF204F"/>
    <w:rPr>
      <w:rFonts w:ascii="Times New Roman" w:eastAsiaTheme="majorEastAsia" w:hAnsi="Times New Roman" w:cstheme="majorBidi"/>
      <w:iCs/>
      <w:sz w:val="24"/>
      <w:szCs w:val="24"/>
      <w:lang w:eastAsia="nl-NL"/>
    </w:rPr>
  </w:style>
  <w:style w:type="paragraph" w:styleId="Verzeichnis2">
    <w:name w:val="toc 2"/>
    <w:basedOn w:val="Standard"/>
    <w:next w:val="Standard"/>
    <w:autoRedefine/>
    <w:uiPriority w:val="39"/>
    <w:unhideWhenUsed/>
    <w:rsid w:val="00CF2A65"/>
    <w:pPr>
      <w:spacing w:before="240"/>
    </w:pPr>
    <w:rPr>
      <w:rFonts w:asciiTheme="minorHAnsi" w:hAnsiTheme="minorHAnsi" w:cstheme="minorHAnsi"/>
      <w:b/>
      <w:bCs/>
      <w:sz w:val="20"/>
      <w:szCs w:val="20"/>
    </w:rPr>
  </w:style>
  <w:style w:type="paragraph" w:styleId="Verzeichnis1">
    <w:name w:val="toc 1"/>
    <w:basedOn w:val="Standard"/>
    <w:next w:val="Standard"/>
    <w:autoRedefine/>
    <w:uiPriority w:val="39"/>
    <w:unhideWhenUsed/>
    <w:rsid w:val="00006663"/>
    <w:pPr>
      <w:spacing w:before="360"/>
    </w:pPr>
    <w:rPr>
      <w:rFonts w:asciiTheme="majorHAnsi" w:hAnsiTheme="majorHAnsi" w:cstheme="majorHAnsi"/>
      <w:b/>
      <w:bCs/>
      <w:caps/>
    </w:rPr>
  </w:style>
  <w:style w:type="paragraph" w:styleId="Verzeichnis3">
    <w:name w:val="toc 3"/>
    <w:basedOn w:val="Standard"/>
    <w:next w:val="Standard"/>
    <w:autoRedefine/>
    <w:uiPriority w:val="39"/>
    <w:unhideWhenUsed/>
    <w:rsid w:val="00CF2A65"/>
    <w:pPr>
      <w:ind w:left="240"/>
    </w:pPr>
    <w:rPr>
      <w:rFonts w:asciiTheme="minorHAnsi" w:hAnsiTheme="minorHAnsi" w:cstheme="minorHAnsi"/>
      <w:sz w:val="20"/>
      <w:szCs w:val="20"/>
    </w:rPr>
  </w:style>
  <w:style w:type="paragraph" w:styleId="Verzeichnis4">
    <w:name w:val="toc 4"/>
    <w:basedOn w:val="Standard"/>
    <w:next w:val="Standard"/>
    <w:autoRedefine/>
    <w:uiPriority w:val="39"/>
    <w:unhideWhenUsed/>
    <w:rsid w:val="00CF2A65"/>
    <w:pPr>
      <w:ind w:left="480"/>
    </w:pPr>
    <w:rPr>
      <w:rFonts w:asciiTheme="minorHAnsi" w:hAnsiTheme="minorHAnsi" w:cstheme="minorHAnsi"/>
      <w:sz w:val="20"/>
      <w:szCs w:val="20"/>
    </w:rPr>
  </w:style>
  <w:style w:type="paragraph" w:styleId="Verzeichnis5">
    <w:name w:val="toc 5"/>
    <w:basedOn w:val="Standard"/>
    <w:next w:val="Standard"/>
    <w:autoRedefine/>
    <w:uiPriority w:val="39"/>
    <w:unhideWhenUsed/>
    <w:rsid w:val="00006663"/>
    <w:pPr>
      <w:ind w:left="720"/>
    </w:pPr>
    <w:rPr>
      <w:rFonts w:asciiTheme="minorHAnsi" w:hAnsiTheme="minorHAnsi" w:cstheme="minorHAnsi"/>
      <w:sz w:val="20"/>
      <w:szCs w:val="20"/>
    </w:rPr>
  </w:style>
  <w:style w:type="paragraph" w:styleId="Verzeichnis6">
    <w:name w:val="toc 6"/>
    <w:basedOn w:val="Standard"/>
    <w:next w:val="Standard"/>
    <w:autoRedefine/>
    <w:uiPriority w:val="39"/>
    <w:unhideWhenUsed/>
    <w:rsid w:val="00006663"/>
    <w:pPr>
      <w:ind w:left="960"/>
    </w:pPr>
    <w:rPr>
      <w:rFonts w:asciiTheme="minorHAnsi" w:hAnsiTheme="minorHAnsi" w:cstheme="minorHAnsi"/>
      <w:sz w:val="20"/>
      <w:szCs w:val="20"/>
    </w:rPr>
  </w:style>
  <w:style w:type="paragraph" w:styleId="Verzeichnis7">
    <w:name w:val="toc 7"/>
    <w:basedOn w:val="Standard"/>
    <w:next w:val="Standard"/>
    <w:autoRedefine/>
    <w:uiPriority w:val="39"/>
    <w:unhideWhenUsed/>
    <w:rsid w:val="00006663"/>
    <w:pPr>
      <w:ind w:left="1200"/>
    </w:pPr>
    <w:rPr>
      <w:rFonts w:asciiTheme="minorHAnsi" w:hAnsiTheme="minorHAnsi" w:cstheme="minorHAnsi"/>
      <w:sz w:val="20"/>
      <w:szCs w:val="20"/>
    </w:rPr>
  </w:style>
  <w:style w:type="paragraph" w:styleId="Verzeichnis8">
    <w:name w:val="toc 8"/>
    <w:basedOn w:val="Standard"/>
    <w:next w:val="Standard"/>
    <w:autoRedefine/>
    <w:uiPriority w:val="39"/>
    <w:unhideWhenUsed/>
    <w:rsid w:val="00006663"/>
    <w:pPr>
      <w:ind w:left="1440"/>
    </w:pPr>
    <w:rPr>
      <w:rFonts w:asciiTheme="minorHAnsi" w:hAnsiTheme="minorHAnsi" w:cstheme="minorHAnsi"/>
      <w:sz w:val="20"/>
      <w:szCs w:val="20"/>
    </w:rPr>
  </w:style>
  <w:style w:type="paragraph" w:styleId="Verzeichnis9">
    <w:name w:val="toc 9"/>
    <w:basedOn w:val="Standard"/>
    <w:next w:val="Standard"/>
    <w:autoRedefine/>
    <w:uiPriority w:val="39"/>
    <w:unhideWhenUsed/>
    <w:rsid w:val="00006663"/>
    <w:pPr>
      <w:ind w:left="1680"/>
    </w:pPr>
    <w:rPr>
      <w:rFonts w:asciiTheme="minorHAnsi" w:hAnsiTheme="minorHAnsi" w:cstheme="minorHAnsi"/>
      <w:sz w:val="20"/>
      <w:szCs w:val="20"/>
    </w:rPr>
  </w:style>
  <w:style w:type="character" w:customStyle="1" w:styleId="berschrift5Zchn">
    <w:name w:val="Überschrift 5 Zchn"/>
    <w:basedOn w:val="Absatz-Standardschriftart"/>
    <w:link w:val="berschrift5"/>
    <w:rsid w:val="00047453"/>
    <w:rPr>
      <w:rFonts w:ascii="Times New Roman" w:eastAsiaTheme="majorEastAsia" w:hAnsi="Times New Roman" w:cstheme="majorBidi"/>
      <w:color w:val="000000" w:themeColor="text1"/>
      <w:sz w:val="24"/>
      <w:szCs w:val="24"/>
      <w:lang w:eastAsia="nl-NL"/>
    </w:rPr>
  </w:style>
  <w:style w:type="character" w:customStyle="1" w:styleId="berschrift6Zchn">
    <w:name w:val="Überschrift 6 Zchn"/>
    <w:basedOn w:val="Absatz-Standardschriftart"/>
    <w:link w:val="berschrift6"/>
    <w:uiPriority w:val="9"/>
    <w:rsid w:val="00047453"/>
    <w:rPr>
      <w:rFonts w:ascii="Times New Roman" w:eastAsiaTheme="majorEastAsia" w:hAnsi="Times New Roman" w:cstheme="majorBidi"/>
      <w:color w:val="000000" w:themeColor="text1"/>
      <w:sz w:val="24"/>
      <w:szCs w:val="24"/>
      <w:lang w:eastAsia="nl-NL"/>
    </w:rPr>
  </w:style>
  <w:style w:type="paragraph" w:styleId="Kopfzeile">
    <w:name w:val="header"/>
    <w:basedOn w:val="Standard"/>
    <w:link w:val="KopfzeileZchn"/>
    <w:uiPriority w:val="99"/>
    <w:unhideWhenUsed/>
    <w:rsid w:val="007850BA"/>
    <w:pPr>
      <w:tabs>
        <w:tab w:val="center" w:pos="4513"/>
        <w:tab w:val="right" w:pos="9026"/>
      </w:tabs>
    </w:pPr>
  </w:style>
  <w:style w:type="character" w:customStyle="1" w:styleId="KopfzeileZchn">
    <w:name w:val="Kopfzeile Zchn"/>
    <w:basedOn w:val="Absatz-Standardschriftart"/>
    <w:link w:val="Kopfzeile"/>
    <w:uiPriority w:val="99"/>
    <w:rsid w:val="007850BA"/>
    <w:rPr>
      <w:rFonts w:ascii="Times New Roman" w:eastAsia="Times New Roman" w:hAnsi="Times New Roman" w:cs="Times New Roman"/>
      <w:sz w:val="24"/>
      <w:szCs w:val="24"/>
      <w:lang w:eastAsia="nl-NL"/>
    </w:rPr>
  </w:style>
  <w:style w:type="paragraph" w:styleId="Fuzeile">
    <w:name w:val="footer"/>
    <w:basedOn w:val="Standard"/>
    <w:link w:val="FuzeileZchn"/>
    <w:uiPriority w:val="99"/>
    <w:unhideWhenUsed/>
    <w:rsid w:val="007850BA"/>
    <w:pPr>
      <w:tabs>
        <w:tab w:val="center" w:pos="4513"/>
        <w:tab w:val="right" w:pos="9026"/>
      </w:tabs>
    </w:pPr>
  </w:style>
  <w:style w:type="character" w:customStyle="1" w:styleId="FuzeileZchn">
    <w:name w:val="Fußzeile Zchn"/>
    <w:basedOn w:val="Absatz-Standardschriftart"/>
    <w:link w:val="Fuzeile"/>
    <w:uiPriority w:val="99"/>
    <w:rsid w:val="007850BA"/>
    <w:rPr>
      <w:rFonts w:ascii="Times New Roman" w:eastAsia="Times New Roman" w:hAnsi="Times New Roman" w:cs="Times New Roman"/>
      <w:sz w:val="24"/>
      <w:szCs w:val="24"/>
      <w:lang w:eastAsia="nl-NL"/>
    </w:rPr>
  </w:style>
  <w:style w:type="paragraph" w:styleId="berarbeitung">
    <w:name w:val="Revision"/>
    <w:hidden/>
    <w:uiPriority w:val="99"/>
    <w:semiHidden/>
    <w:rsid w:val="00DD6759"/>
    <w:pPr>
      <w:spacing w:after="0" w:line="240" w:lineRule="auto"/>
    </w:pPr>
    <w:rPr>
      <w:rFonts w:ascii="Times New Roman" w:eastAsia="Times New Roman" w:hAnsi="Times New Roman" w:cs="Times New Roman"/>
      <w:sz w:val="24"/>
      <w:szCs w:val="24"/>
      <w:lang w:eastAsia="nl-NL"/>
    </w:rPr>
  </w:style>
  <w:style w:type="character" w:styleId="Kommentarzeichen">
    <w:name w:val="annotation reference"/>
    <w:basedOn w:val="Absatz-Standardschriftart"/>
    <w:uiPriority w:val="99"/>
    <w:rsid w:val="005F5AF1"/>
    <w:rPr>
      <w:sz w:val="16"/>
      <w:szCs w:val="16"/>
    </w:rPr>
  </w:style>
  <w:style w:type="paragraph" w:styleId="Kommentartext">
    <w:name w:val="annotation text"/>
    <w:basedOn w:val="Standard"/>
    <w:link w:val="KommentartextZchn"/>
    <w:rsid w:val="005F5AF1"/>
    <w:rPr>
      <w:sz w:val="20"/>
      <w:szCs w:val="20"/>
    </w:rPr>
  </w:style>
  <w:style w:type="character" w:customStyle="1" w:styleId="KommentartextZchn">
    <w:name w:val="Kommentartext Zchn"/>
    <w:basedOn w:val="Absatz-Standardschriftart"/>
    <w:link w:val="Kommentartext"/>
    <w:rsid w:val="005F5AF1"/>
    <w:rPr>
      <w:rFonts w:ascii="Times New Roman" w:eastAsia="Times New Roman" w:hAnsi="Times New Roman" w:cs="Times New Roman"/>
      <w:sz w:val="20"/>
      <w:szCs w:val="20"/>
      <w:lang w:eastAsia="nl-NL"/>
    </w:rPr>
  </w:style>
  <w:style w:type="paragraph" w:styleId="Sprechblasentext">
    <w:name w:val="Balloon Text"/>
    <w:basedOn w:val="Standard"/>
    <w:link w:val="SprechblasentextZchn"/>
    <w:uiPriority w:val="99"/>
    <w:semiHidden/>
    <w:unhideWhenUsed/>
    <w:rsid w:val="0080120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0120D"/>
    <w:rPr>
      <w:rFonts w:ascii="Segoe UI" w:eastAsia="Times New Roman" w:hAnsi="Segoe UI" w:cs="Segoe UI"/>
      <w:sz w:val="18"/>
      <w:szCs w:val="18"/>
      <w:lang w:eastAsia="nl-NL"/>
    </w:rPr>
  </w:style>
  <w:style w:type="paragraph" w:styleId="Kommentarthema">
    <w:name w:val="annotation subject"/>
    <w:basedOn w:val="Kommentartext"/>
    <w:next w:val="Kommentartext"/>
    <w:link w:val="KommentarthemaZchn"/>
    <w:uiPriority w:val="99"/>
    <w:semiHidden/>
    <w:unhideWhenUsed/>
    <w:rsid w:val="007F16AD"/>
    <w:rPr>
      <w:b/>
      <w:bCs/>
    </w:rPr>
  </w:style>
  <w:style w:type="character" w:customStyle="1" w:styleId="KommentarthemaZchn">
    <w:name w:val="Kommentarthema Zchn"/>
    <w:basedOn w:val="KommentartextZchn"/>
    <w:link w:val="Kommentarthema"/>
    <w:uiPriority w:val="99"/>
    <w:semiHidden/>
    <w:rsid w:val="007F16AD"/>
    <w:rPr>
      <w:rFonts w:ascii="Times New Roman" w:eastAsia="Times New Roman" w:hAnsi="Times New Roman" w:cs="Times New Roman"/>
      <w:b/>
      <w:bCs/>
      <w:sz w:val="20"/>
      <w:szCs w:val="20"/>
      <w:lang w:eastAsia="nl-NL"/>
    </w:rPr>
  </w:style>
  <w:style w:type="paragraph" w:styleId="Endnotentext">
    <w:name w:val="endnote text"/>
    <w:basedOn w:val="Standard"/>
    <w:link w:val="EndnotentextZchn"/>
    <w:uiPriority w:val="99"/>
    <w:semiHidden/>
    <w:unhideWhenUsed/>
    <w:rsid w:val="007A3DAF"/>
    <w:rPr>
      <w:sz w:val="20"/>
      <w:szCs w:val="20"/>
    </w:rPr>
  </w:style>
  <w:style w:type="character" w:customStyle="1" w:styleId="EndnotentextZchn">
    <w:name w:val="Endnotentext Zchn"/>
    <w:basedOn w:val="Absatz-Standardschriftart"/>
    <w:link w:val="Endnotentext"/>
    <w:uiPriority w:val="99"/>
    <w:semiHidden/>
    <w:rsid w:val="007A3DAF"/>
    <w:rPr>
      <w:rFonts w:ascii="Times New Roman" w:eastAsia="Times New Roman" w:hAnsi="Times New Roman" w:cs="Times New Roman"/>
      <w:sz w:val="20"/>
      <w:szCs w:val="20"/>
      <w:lang w:eastAsia="nl-NL"/>
    </w:rPr>
  </w:style>
  <w:style w:type="character" w:styleId="Endnotenzeichen">
    <w:name w:val="endnote reference"/>
    <w:basedOn w:val="Absatz-Standardschriftart"/>
    <w:uiPriority w:val="99"/>
    <w:semiHidden/>
    <w:unhideWhenUsed/>
    <w:rsid w:val="007A3DAF"/>
    <w:rPr>
      <w:vertAlign w:val="superscript"/>
    </w:rPr>
  </w:style>
  <w:style w:type="character" w:customStyle="1" w:styleId="UnresolvedMention1">
    <w:name w:val="Unresolved Mention1"/>
    <w:basedOn w:val="Absatz-Standardschriftart"/>
    <w:uiPriority w:val="99"/>
    <w:semiHidden/>
    <w:unhideWhenUsed/>
    <w:rsid w:val="0035691C"/>
    <w:rPr>
      <w:color w:val="605E5C"/>
      <w:shd w:val="clear" w:color="auto" w:fill="E1DFDD"/>
    </w:rPr>
  </w:style>
  <w:style w:type="character" w:customStyle="1" w:styleId="oj-italic">
    <w:name w:val="oj-italic"/>
    <w:basedOn w:val="Absatz-Standardschriftart"/>
    <w:rsid w:val="00B5062F"/>
  </w:style>
  <w:style w:type="character" w:customStyle="1" w:styleId="datum">
    <w:name w:val="datum"/>
    <w:basedOn w:val="Absatz-Standardschriftart"/>
    <w:rsid w:val="007105E7"/>
  </w:style>
  <w:style w:type="character" w:customStyle="1" w:styleId="az">
    <w:name w:val="az"/>
    <w:basedOn w:val="Absatz-Standardschriftart"/>
    <w:rsid w:val="007105E7"/>
  </w:style>
  <w:style w:type="paragraph" w:customStyle="1" w:styleId="liste1">
    <w:name w:val="liste1"/>
    <w:basedOn w:val="Standard"/>
    <w:rsid w:val="005F3844"/>
    <w:pPr>
      <w:spacing w:before="100" w:beforeAutospacing="1" w:after="100" w:afterAutospacing="1"/>
    </w:pPr>
    <w:rPr>
      <w:lang w:val="de-DE" w:eastAsia="de-DE"/>
    </w:rPr>
  </w:style>
  <w:style w:type="character" w:customStyle="1" w:styleId="Onopgelostemelding1">
    <w:name w:val="Onopgeloste melding1"/>
    <w:basedOn w:val="Absatz-Standardschriftart"/>
    <w:uiPriority w:val="99"/>
    <w:semiHidden/>
    <w:unhideWhenUsed/>
    <w:rsid w:val="00C85E95"/>
    <w:rPr>
      <w:color w:val="605E5C"/>
      <w:shd w:val="clear" w:color="auto" w:fill="E1DFDD"/>
    </w:rPr>
  </w:style>
  <w:style w:type="character" w:customStyle="1" w:styleId="cf01">
    <w:name w:val="cf01"/>
    <w:basedOn w:val="Absatz-Standardschriftart"/>
    <w:rsid w:val="00CD272F"/>
    <w:rPr>
      <w:rFonts w:ascii="Segoe UI" w:hAnsi="Segoe UI" w:cs="Segoe UI" w:hint="default"/>
      <w:sz w:val="18"/>
      <w:szCs w:val="18"/>
    </w:rPr>
  </w:style>
  <w:style w:type="character" w:customStyle="1" w:styleId="aufz">
    <w:name w:val="aufz"/>
    <w:basedOn w:val="Absatz-Standardschriftart"/>
    <w:rsid w:val="00414894"/>
  </w:style>
  <w:style w:type="paragraph" w:styleId="HTMLVorformatiert">
    <w:name w:val="HTML Preformatted"/>
    <w:basedOn w:val="Standard"/>
    <w:link w:val="HTMLVorformatiertZchn"/>
    <w:uiPriority w:val="99"/>
    <w:unhideWhenUsed/>
    <w:rsid w:val="00186B6C"/>
    <w:rPr>
      <w:rFonts w:ascii="Consolas" w:hAnsi="Consolas"/>
      <w:sz w:val="20"/>
      <w:szCs w:val="20"/>
    </w:rPr>
  </w:style>
  <w:style w:type="character" w:customStyle="1" w:styleId="HTMLVorformatiertZchn">
    <w:name w:val="HTML Vorformatiert Zchn"/>
    <w:basedOn w:val="Absatz-Standardschriftart"/>
    <w:link w:val="HTMLVorformatiert"/>
    <w:uiPriority w:val="99"/>
    <w:rsid w:val="00186B6C"/>
    <w:rPr>
      <w:rFonts w:ascii="Consolas" w:eastAsia="Times New Roman" w:hAnsi="Consolas" w:cs="Times New Roman"/>
      <w:sz w:val="20"/>
      <w:szCs w:val="20"/>
      <w:lang w:eastAsia="nl-NL"/>
    </w:rPr>
  </w:style>
  <w:style w:type="character" w:customStyle="1" w:styleId="NichtaufgelsteErwhnung1">
    <w:name w:val="Nicht aufgelöste Erwähnung1"/>
    <w:basedOn w:val="Absatz-Standardschriftart"/>
    <w:uiPriority w:val="99"/>
    <w:semiHidden/>
    <w:unhideWhenUsed/>
    <w:rsid w:val="00186B6C"/>
    <w:rPr>
      <w:color w:val="605E5C"/>
      <w:shd w:val="clear" w:color="auto" w:fill="E1DFDD"/>
    </w:rPr>
  </w:style>
  <w:style w:type="character" w:customStyle="1" w:styleId="NichtaufgelsteErwhnung2">
    <w:name w:val="Nicht aufgelöste Erwähnung2"/>
    <w:basedOn w:val="Absatz-Standardschriftart"/>
    <w:uiPriority w:val="99"/>
    <w:semiHidden/>
    <w:unhideWhenUsed/>
    <w:rsid w:val="00C62270"/>
    <w:rPr>
      <w:color w:val="605E5C"/>
      <w:shd w:val="clear" w:color="auto" w:fill="E1DFDD"/>
    </w:rPr>
  </w:style>
  <w:style w:type="paragraph" w:styleId="StandardWeb">
    <w:name w:val="Normal (Web)"/>
    <w:basedOn w:val="Standard"/>
    <w:uiPriority w:val="99"/>
    <w:unhideWhenUsed/>
    <w:rsid w:val="00BC2215"/>
    <w:pPr>
      <w:spacing w:before="100" w:beforeAutospacing="1" w:after="100" w:afterAutospacing="1"/>
    </w:pPr>
    <w:rPr>
      <w:lang w:val="de-DE" w:eastAsia="de-DE"/>
    </w:rPr>
  </w:style>
  <w:style w:type="character" w:customStyle="1" w:styleId="hgkelc">
    <w:name w:val="hgkelc"/>
    <w:basedOn w:val="Absatz-Standardschriftart"/>
    <w:rsid w:val="00D223EB"/>
  </w:style>
  <w:style w:type="table" w:styleId="Tabellenraster">
    <w:name w:val="Table Grid"/>
    <w:basedOn w:val="NormaleTabelle"/>
    <w:uiPriority w:val="39"/>
    <w:rsid w:val="003F111F"/>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3F111F"/>
    <w:rPr>
      <w:b/>
      <w:bCs/>
    </w:rPr>
  </w:style>
  <w:style w:type="character" w:styleId="Hervorhebung">
    <w:name w:val="Emphasis"/>
    <w:basedOn w:val="Absatz-Standardschriftart"/>
    <w:uiPriority w:val="20"/>
    <w:qFormat/>
    <w:rsid w:val="003F111F"/>
    <w:rPr>
      <w:i/>
      <w:iCs/>
    </w:rPr>
  </w:style>
  <w:style w:type="character" w:customStyle="1" w:styleId="d9fyld">
    <w:name w:val="d9fyld"/>
    <w:basedOn w:val="Absatz-Standardschriftart"/>
    <w:rsid w:val="003F111F"/>
  </w:style>
  <w:style w:type="character" w:customStyle="1" w:styleId="NichtaufgelsteErwhnung3">
    <w:name w:val="Nicht aufgelöste Erwähnung3"/>
    <w:basedOn w:val="Absatz-Standardschriftart"/>
    <w:uiPriority w:val="99"/>
    <w:semiHidden/>
    <w:unhideWhenUsed/>
    <w:rsid w:val="00171426"/>
    <w:rPr>
      <w:color w:val="605E5C"/>
      <w:shd w:val="clear" w:color="auto" w:fill="E1DFDD"/>
    </w:rPr>
  </w:style>
  <w:style w:type="character" w:styleId="BesuchterLink">
    <w:name w:val="FollowedHyperlink"/>
    <w:basedOn w:val="Absatz-Standardschriftart"/>
    <w:uiPriority w:val="99"/>
    <w:semiHidden/>
    <w:unhideWhenUsed/>
    <w:rsid w:val="00712A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536462">
      <w:bodyDiv w:val="1"/>
      <w:marLeft w:val="0"/>
      <w:marRight w:val="0"/>
      <w:marTop w:val="0"/>
      <w:marBottom w:val="0"/>
      <w:divBdr>
        <w:top w:val="none" w:sz="0" w:space="0" w:color="auto"/>
        <w:left w:val="none" w:sz="0" w:space="0" w:color="auto"/>
        <w:bottom w:val="none" w:sz="0" w:space="0" w:color="auto"/>
        <w:right w:val="none" w:sz="0" w:space="0" w:color="auto"/>
      </w:divBdr>
    </w:div>
    <w:div w:id="631403413">
      <w:bodyDiv w:val="1"/>
      <w:marLeft w:val="0"/>
      <w:marRight w:val="0"/>
      <w:marTop w:val="0"/>
      <w:marBottom w:val="0"/>
      <w:divBdr>
        <w:top w:val="none" w:sz="0" w:space="0" w:color="auto"/>
        <w:left w:val="none" w:sz="0" w:space="0" w:color="auto"/>
        <w:bottom w:val="none" w:sz="0" w:space="0" w:color="auto"/>
        <w:right w:val="none" w:sz="0" w:space="0" w:color="auto"/>
      </w:divBdr>
      <w:divsChild>
        <w:div w:id="1862429304">
          <w:marLeft w:val="0"/>
          <w:marRight w:val="0"/>
          <w:marTop w:val="0"/>
          <w:marBottom w:val="0"/>
          <w:divBdr>
            <w:top w:val="none" w:sz="0" w:space="0" w:color="auto"/>
            <w:left w:val="none" w:sz="0" w:space="0" w:color="auto"/>
            <w:bottom w:val="none" w:sz="0" w:space="0" w:color="auto"/>
            <w:right w:val="none" w:sz="0" w:space="0" w:color="auto"/>
          </w:divBdr>
          <w:divsChild>
            <w:div w:id="1382905220">
              <w:marLeft w:val="0"/>
              <w:marRight w:val="0"/>
              <w:marTop w:val="0"/>
              <w:marBottom w:val="0"/>
              <w:divBdr>
                <w:top w:val="none" w:sz="0" w:space="0" w:color="auto"/>
                <w:left w:val="none" w:sz="0" w:space="0" w:color="auto"/>
                <w:bottom w:val="none" w:sz="0" w:space="0" w:color="auto"/>
                <w:right w:val="none" w:sz="0" w:space="0" w:color="auto"/>
              </w:divBdr>
              <w:divsChild>
                <w:div w:id="1856453995">
                  <w:marLeft w:val="0"/>
                  <w:marRight w:val="0"/>
                  <w:marTop w:val="0"/>
                  <w:marBottom w:val="0"/>
                  <w:divBdr>
                    <w:top w:val="none" w:sz="0" w:space="0" w:color="auto"/>
                    <w:left w:val="none" w:sz="0" w:space="0" w:color="auto"/>
                    <w:bottom w:val="none" w:sz="0" w:space="0" w:color="auto"/>
                    <w:right w:val="none" w:sz="0" w:space="0" w:color="auto"/>
                  </w:divBdr>
                  <w:divsChild>
                    <w:div w:id="174464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288748">
      <w:bodyDiv w:val="1"/>
      <w:marLeft w:val="0"/>
      <w:marRight w:val="0"/>
      <w:marTop w:val="0"/>
      <w:marBottom w:val="0"/>
      <w:divBdr>
        <w:top w:val="none" w:sz="0" w:space="0" w:color="auto"/>
        <w:left w:val="none" w:sz="0" w:space="0" w:color="auto"/>
        <w:bottom w:val="none" w:sz="0" w:space="0" w:color="auto"/>
        <w:right w:val="none" w:sz="0" w:space="0" w:color="auto"/>
      </w:divBdr>
      <w:divsChild>
        <w:div w:id="1934196322">
          <w:marLeft w:val="0"/>
          <w:marRight w:val="0"/>
          <w:marTop w:val="0"/>
          <w:marBottom w:val="0"/>
          <w:divBdr>
            <w:top w:val="none" w:sz="0" w:space="0" w:color="auto"/>
            <w:left w:val="none" w:sz="0" w:space="0" w:color="auto"/>
            <w:bottom w:val="none" w:sz="0" w:space="0" w:color="auto"/>
            <w:right w:val="none" w:sz="0" w:space="0" w:color="auto"/>
          </w:divBdr>
          <w:divsChild>
            <w:div w:id="284388172">
              <w:marLeft w:val="0"/>
              <w:marRight w:val="0"/>
              <w:marTop w:val="0"/>
              <w:marBottom w:val="0"/>
              <w:divBdr>
                <w:top w:val="none" w:sz="0" w:space="0" w:color="auto"/>
                <w:left w:val="none" w:sz="0" w:space="0" w:color="auto"/>
                <w:bottom w:val="none" w:sz="0" w:space="0" w:color="auto"/>
                <w:right w:val="none" w:sz="0" w:space="0" w:color="auto"/>
              </w:divBdr>
              <w:divsChild>
                <w:div w:id="1091926986">
                  <w:marLeft w:val="0"/>
                  <w:marRight w:val="0"/>
                  <w:marTop w:val="0"/>
                  <w:marBottom w:val="0"/>
                  <w:divBdr>
                    <w:top w:val="none" w:sz="0" w:space="0" w:color="auto"/>
                    <w:left w:val="none" w:sz="0" w:space="0" w:color="auto"/>
                    <w:bottom w:val="none" w:sz="0" w:space="0" w:color="auto"/>
                    <w:right w:val="none" w:sz="0" w:space="0" w:color="auto"/>
                  </w:divBdr>
                  <w:divsChild>
                    <w:div w:id="59664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594917">
      <w:bodyDiv w:val="1"/>
      <w:marLeft w:val="0"/>
      <w:marRight w:val="0"/>
      <w:marTop w:val="0"/>
      <w:marBottom w:val="0"/>
      <w:divBdr>
        <w:top w:val="none" w:sz="0" w:space="0" w:color="auto"/>
        <w:left w:val="none" w:sz="0" w:space="0" w:color="auto"/>
        <w:bottom w:val="none" w:sz="0" w:space="0" w:color="auto"/>
        <w:right w:val="none" w:sz="0" w:space="0" w:color="auto"/>
      </w:divBdr>
    </w:div>
    <w:div w:id="756903563">
      <w:bodyDiv w:val="1"/>
      <w:marLeft w:val="0"/>
      <w:marRight w:val="0"/>
      <w:marTop w:val="0"/>
      <w:marBottom w:val="0"/>
      <w:divBdr>
        <w:top w:val="none" w:sz="0" w:space="0" w:color="auto"/>
        <w:left w:val="none" w:sz="0" w:space="0" w:color="auto"/>
        <w:bottom w:val="none" w:sz="0" w:space="0" w:color="auto"/>
        <w:right w:val="none" w:sz="0" w:space="0" w:color="auto"/>
      </w:divBdr>
    </w:div>
    <w:div w:id="937175815">
      <w:bodyDiv w:val="1"/>
      <w:marLeft w:val="0"/>
      <w:marRight w:val="0"/>
      <w:marTop w:val="0"/>
      <w:marBottom w:val="0"/>
      <w:divBdr>
        <w:top w:val="none" w:sz="0" w:space="0" w:color="auto"/>
        <w:left w:val="none" w:sz="0" w:space="0" w:color="auto"/>
        <w:bottom w:val="none" w:sz="0" w:space="0" w:color="auto"/>
        <w:right w:val="none" w:sz="0" w:space="0" w:color="auto"/>
      </w:divBdr>
    </w:div>
    <w:div w:id="945698748">
      <w:bodyDiv w:val="1"/>
      <w:marLeft w:val="0"/>
      <w:marRight w:val="0"/>
      <w:marTop w:val="0"/>
      <w:marBottom w:val="0"/>
      <w:divBdr>
        <w:top w:val="none" w:sz="0" w:space="0" w:color="auto"/>
        <w:left w:val="none" w:sz="0" w:space="0" w:color="auto"/>
        <w:bottom w:val="none" w:sz="0" w:space="0" w:color="auto"/>
        <w:right w:val="none" w:sz="0" w:space="0" w:color="auto"/>
      </w:divBdr>
    </w:div>
    <w:div w:id="1002047092">
      <w:bodyDiv w:val="1"/>
      <w:marLeft w:val="0"/>
      <w:marRight w:val="0"/>
      <w:marTop w:val="0"/>
      <w:marBottom w:val="0"/>
      <w:divBdr>
        <w:top w:val="none" w:sz="0" w:space="0" w:color="auto"/>
        <w:left w:val="none" w:sz="0" w:space="0" w:color="auto"/>
        <w:bottom w:val="none" w:sz="0" w:space="0" w:color="auto"/>
        <w:right w:val="none" w:sz="0" w:space="0" w:color="auto"/>
      </w:divBdr>
    </w:div>
    <w:div w:id="1053428968">
      <w:bodyDiv w:val="1"/>
      <w:marLeft w:val="0"/>
      <w:marRight w:val="0"/>
      <w:marTop w:val="0"/>
      <w:marBottom w:val="0"/>
      <w:divBdr>
        <w:top w:val="none" w:sz="0" w:space="0" w:color="auto"/>
        <w:left w:val="none" w:sz="0" w:space="0" w:color="auto"/>
        <w:bottom w:val="none" w:sz="0" w:space="0" w:color="auto"/>
        <w:right w:val="none" w:sz="0" w:space="0" w:color="auto"/>
      </w:divBdr>
      <w:divsChild>
        <w:div w:id="1577669022">
          <w:marLeft w:val="0"/>
          <w:marRight w:val="0"/>
          <w:marTop w:val="0"/>
          <w:marBottom w:val="0"/>
          <w:divBdr>
            <w:top w:val="none" w:sz="0" w:space="0" w:color="auto"/>
            <w:left w:val="none" w:sz="0" w:space="0" w:color="auto"/>
            <w:bottom w:val="none" w:sz="0" w:space="0" w:color="auto"/>
            <w:right w:val="none" w:sz="0" w:space="0" w:color="auto"/>
          </w:divBdr>
        </w:div>
      </w:divsChild>
    </w:div>
    <w:div w:id="1360551701">
      <w:bodyDiv w:val="1"/>
      <w:marLeft w:val="0"/>
      <w:marRight w:val="0"/>
      <w:marTop w:val="0"/>
      <w:marBottom w:val="0"/>
      <w:divBdr>
        <w:top w:val="none" w:sz="0" w:space="0" w:color="auto"/>
        <w:left w:val="none" w:sz="0" w:space="0" w:color="auto"/>
        <w:bottom w:val="none" w:sz="0" w:space="0" w:color="auto"/>
        <w:right w:val="none" w:sz="0" w:space="0" w:color="auto"/>
      </w:divBdr>
    </w:div>
    <w:div w:id="1412315736">
      <w:bodyDiv w:val="1"/>
      <w:marLeft w:val="0"/>
      <w:marRight w:val="0"/>
      <w:marTop w:val="0"/>
      <w:marBottom w:val="0"/>
      <w:divBdr>
        <w:top w:val="none" w:sz="0" w:space="0" w:color="auto"/>
        <w:left w:val="none" w:sz="0" w:space="0" w:color="auto"/>
        <w:bottom w:val="none" w:sz="0" w:space="0" w:color="auto"/>
        <w:right w:val="none" w:sz="0" w:space="0" w:color="auto"/>
      </w:divBdr>
    </w:div>
    <w:div w:id="1421025036">
      <w:bodyDiv w:val="1"/>
      <w:marLeft w:val="0"/>
      <w:marRight w:val="0"/>
      <w:marTop w:val="0"/>
      <w:marBottom w:val="0"/>
      <w:divBdr>
        <w:top w:val="none" w:sz="0" w:space="0" w:color="auto"/>
        <w:left w:val="none" w:sz="0" w:space="0" w:color="auto"/>
        <w:bottom w:val="none" w:sz="0" w:space="0" w:color="auto"/>
        <w:right w:val="none" w:sz="0" w:space="0" w:color="auto"/>
      </w:divBdr>
    </w:div>
    <w:div w:id="1572427721">
      <w:bodyDiv w:val="1"/>
      <w:marLeft w:val="0"/>
      <w:marRight w:val="0"/>
      <w:marTop w:val="0"/>
      <w:marBottom w:val="0"/>
      <w:divBdr>
        <w:top w:val="none" w:sz="0" w:space="0" w:color="auto"/>
        <w:left w:val="none" w:sz="0" w:space="0" w:color="auto"/>
        <w:bottom w:val="none" w:sz="0" w:space="0" w:color="auto"/>
        <w:right w:val="none" w:sz="0" w:space="0" w:color="auto"/>
      </w:divBdr>
    </w:div>
    <w:div w:id="1628121791">
      <w:bodyDiv w:val="1"/>
      <w:marLeft w:val="0"/>
      <w:marRight w:val="0"/>
      <w:marTop w:val="0"/>
      <w:marBottom w:val="0"/>
      <w:divBdr>
        <w:top w:val="none" w:sz="0" w:space="0" w:color="auto"/>
        <w:left w:val="none" w:sz="0" w:space="0" w:color="auto"/>
        <w:bottom w:val="none" w:sz="0" w:space="0" w:color="auto"/>
        <w:right w:val="none" w:sz="0" w:space="0" w:color="auto"/>
      </w:divBdr>
    </w:div>
    <w:div w:id="1664164381">
      <w:bodyDiv w:val="1"/>
      <w:marLeft w:val="0"/>
      <w:marRight w:val="0"/>
      <w:marTop w:val="0"/>
      <w:marBottom w:val="0"/>
      <w:divBdr>
        <w:top w:val="none" w:sz="0" w:space="0" w:color="auto"/>
        <w:left w:val="none" w:sz="0" w:space="0" w:color="auto"/>
        <w:bottom w:val="none" w:sz="0" w:space="0" w:color="auto"/>
        <w:right w:val="none" w:sz="0" w:space="0" w:color="auto"/>
      </w:divBdr>
    </w:div>
    <w:div w:id="1686127523">
      <w:bodyDiv w:val="1"/>
      <w:marLeft w:val="0"/>
      <w:marRight w:val="0"/>
      <w:marTop w:val="0"/>
      <w:marBottom w:val="0"/>
      <w:divBdr>
        <w:top w:val="none" w:sz="0" w:space="0" w:color="auto"/>
        <w:left w:val="none" w:sz="0" w:space="0" w:color="auto"/>
        <w:bottom w:val="none" w:sz="0" w:space="0" w:color="auto"/>
        <w:right w:val="none" w:sz="0" w:space="0" w:color="auto"/>
      </w:divBdr>
    </w:div>
    <w:div w:id="1811899962">
      <w:bodyDiv w:val="1"/>
      <w:marLeft w:val="0"/>
      <w:marRight w:val="0"/>
      <w:marTop w:val="0"/>
      <w:marBottom w:val="0"/>
      <w:divBdr>
        <w:top w:val="none" w:sz="0" w:space="0" w:color="auto"/>
        <w:left w:val="none" w:sz="0" w:space="0" w:color="auto"/>
        <w:bottom w:val="none" w:sz="0" w:space="0" w:color="auto"/>
        <w:right w:val="none" w:sz="0" w:space="0" w:color="auto"/>
      </w:divBdr>
      <w:divsChild>
        <w:div w:id="955480749">
          <w:marLeft w:val="0"/>
          <w:marRight w:val="0"/>
          <w:marTop w:val="0"/>
          <w:marBottom w:val="0"/>
          <w:divBdr>
            <w:top w:val="none" w:sz="0" w:space="0" w:color="auto"/>
            <w:left w:val="none" w:sz="0" w:space="0" w:color="auto"/>
            <w:bottom w:val="none" w:sz="0" w:space="0" w:color="auto"/>
            <w:right w:val="none" w:sz="0" w:space="0" w:color="auto"/>
          </w:divBdr>
          <w:divsChild>
            <w:div w:id="1701663594">
              <w:marLeft w:val="0"/>
              <w:marRight w:val="0"/>
              <w:marTop w:val="0"/>
              <w:marBottom w:val="0"/>
              <w:divBdr>
                <w:top w:val="none" w:sz="0" w:space="0" w:color="auto"/>
                <w:left w:val="none" w:sz="0" w:space="0" w:color="auto"/>
                <w:bottom w:val="none" w:sz="0" w:space="0" w:color="auto"/>
                <w:right w:val="none" w:sz="0" w:space="0" w:color="auto"/>
              </w:divBdr>
              <w:divsChild>
                <w:div w:id="1521160606">
                  <w:marLeft w:val="0"/>
                  <w:marRight w:val="0"/>
                  <w:marTop w:val="0"/>
                  <w:marBottom w:val="0"/>
                  <w:divBdr>
                    <w:top w:val="none" w:sz="0" w:space="0" w:color="auto"/>
                    <w:left w:val="none" w:sz="0" w:space="0" w:color="auto"/>
                    <w:bottom w:val="none" w:sz="0" w:space="0" w:color="auto"/>
                    <w:right w:val="none" w:sz="0" w:space="0" w:color="auto"/>
                  </w:divBdr>
                  <w:divsChild>
                    <w:div w:id="79536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116662">
      <w:bodyDiv w:val="1"/>
      <w:marLeft w:val="0"/>
      <w:marRight w:val="0"/>
      <w:marTop w:val="0"/>
      <w:marBottom w:val="0"/>
      <w:divBdr>
        <w:top w:val="none" w:sz="0" w:space="0" w:color="auto"/>
        <w:left w:val="none" w:sz="0" w:space="0" w:color="auto"/>
        <w:bottom w:val="none" w:sz="0" w:space="0" w:color="auto"/>
        <w:right w:val="none" w:sz="0" w:space="0" w:color="auto"/>
      </w:divBdr>
    </w:div>
    <w:div w:id="1860045852">
      <w:bodyDiv w:val="1"/>
      <w:marLeft w:val="0"/>
      <w:marRight w:val="0"/>
      <w:marTop w:val="0"/>
      <w:marBottom w:val="0"/>
      <w:divBdr>
        <w:top w:val="none" w:sz="0" w:space="0" w:color="auto"/>
        <w:left w:val="none" w:sz="0" w:space="0" w:color="auto"/>
        <w:bottom w:val="none" w:sz="0" w:space="0" w:color="auto"/>
        <w:right w:val="none" w:sz="0" w:space="0" w:color="auto"/>
      </w:divBdr>
    </w:div>
    <w:div w:id="1877350780">
      <w:bodyDiv w:val="1"/>
      <w:marLeft w:val="0"/>
      <w:marRight w:val="0"/>
      <w:marTop w:val="0"/>
      <w:marBottom w:val="0"/>
      <w:divBdr>
        <w:top w:val="none" w:sz="0" w:space="0" w:color="auto"/>
        <w:left w:val="none" w:sz="0" w:space="0" w:color="auto"/>
        <w:bottom w:val="none" w:sz="0" w:space="0" w:color="auto"/>
        <w:right w:val="none" w:sz="0" w:space="0" w:color="auto"/>
      </w:divBdr>
    </w:div>
    <w:div w:id="1949043263">
      <w:bodyDiv w:val="1"/>
      <w:marLeft w:val="0"/>
      <w:marRight w:val="0"/>
      <w:marTop w:val="0"/>
      <w:marBottom w:val="0"/>
      <w:divBdr>
        <w:top w:val="none" w:sz="0" w:space="0" w:color="auto"/>
        <w:left w:val="none" w:sz="0" w:space="0" w:color="auto"/>
        <w:bottom w:val="none" w:sz="0" w:space="0" w:color="auto"/>
        <w:right w:val="none" w:sz="0" w:space="0" w:color="auto"/>
      </w:divBdr>
    </w:div>
    <w:div w:id="1973748117">
      <w:bodyDiv w:val="1"/>
      <w:marLeft w:val="0"/>
      <w:marRight w:val="0"/>
      <w:marTop w:val="0"/>
      <w:marBottom w:val="0"/>
      <w:divBdr>
        <w:top w:val="none" w:sz="0" w:space="0" w:color="auto"/>
        <w:left w:val="none" w:sz="0" w:space="0" w:color="auto"/>
        <w:bottom w:val="none" w:sz="0" w:space="0" w:color="auto"/>
        <w:right w:val="none" w:sz="0" w:space="0" w:color="auto"/>
      </w:divBdr>
    </w:div>
    <w:div w:id="200824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footnotes.xml.rels><?xml version="1.0" encoding="UTF-8" standalone="yes"?>
<Relationships xmlns="http://schemas.openxmlformats.org/package/2006/relationships"><Relationship Id="rId3" Type="http://schemas.openxmlformats.org/officeDocument/2006/relationships/hyperlink" Target="https://www.gesetze-im-internet.de/englisch_irg/" TargetMode="External"/><Relationship Id="rId2" Type="http://schemas.openxmlformats.org/officeDocument/2006/relationships/hyperlink" Target="https://ec.europa.eu/info/funding-tenders/opportunities/docs/2021-2027/just/wp-call/2021-2022/call-fiche_just-2022-jcoo_en.pdf" TargetMode="External"/><Relationship Id="rId1" Type="http://schemas.openxmlformats.org/officeDocument/2006/relationships/hyperlink" Target="https://www.universiteitleiden.nl/binaries/content/assets/rechtsgeleerdheid/instituut-voor-publiekrecht/europees-recht/houserul2020.pdf" TargetMode="External"/><Relationship Id="rId6" Type="http://schemas.openxmlformats.org/officeDocument/2006/relationships/hyperlink" Target="https://www.ejn-crimjust.europa.eu/ejn2021/FichesBelgesDetail/EN/A.12/260/277" TargetMode="External"/><Relationship Id="rId5" Type="http://schemas.openxmlformats.org/officeDocument/2006/relationships/hyperlink" Target="https://www.ejn-crimjust.europa.eu/ejn2021/FichesBelgesDetail/EN/A.12/260/277" TargetMode="External"/><Relationship Id="rId4" Type="http://schemas.openxmlformats.org/officeDocument/2006/relationships/hyperlink" Target="https://www.bmj.de/SharedDocs/Gesetzgebungsverfahren/DE/2024_IRG_Refor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81712-2B3C-4B4A-A154-FBA477051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101</Pages>
  <Words>26428</Words>
  <Characters>166500</Characters>
  <Application>Microsoft Office Word</Application>
  <DocSecurity>0</DocSecurity>
  <Lines>1387</Lines>
  <Paragraphs>385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Maasrticht University</Company>
  <LinksUpToDate>false</LinksUpToDate>
  <CharactersWithSpaces>192543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Ancona, Gaetano (STRAFR)</dc:creator>
  <cp:keywords/>
  <dc:description/>
  <cp:lastModifiedBy>Ruth Schumacher</cp:lastModifiedBy>
  <cp:revision>4</cp:revision>
  <cp:lastPrinted>2024-08-01T06:42:00Z</cp:lastPrinted>
  <dcterms:created xsi:type="dcterms:W3CDTF">2025-03-19T09:30:00Z</dcterms:created>
  <dcterms:modified xsi:type="dcterms:W3CDTF">2025-04-30T10:43:00Z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f5ae0f8cd33bc5446d9dd7456a8b4a22a66018bad6d335e2533d4e1a0483df72</vt:lpwstr>
  </property>
</Properties>
</file>